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029D9" w14:textId="77777777" w:rsidR="004B7969" w:rsidRPr="00B2226A" w:rsidRDefault="004B7969" w:rsidP="004B7969">
      <w:pPr>
        <w:pStyle w:val="NoSpacing"/>
        <w:rPr>
          <w:rFonts w:ascii="Arial" w:hAnsi="Arial" w:cs="Arial"/>
          <w:b/>
          <w:bCs/>
          <w:sz w:val="28"/>
          <w:szCs w:val="28"/>
          <w:lang w:val="en-CA"/>
        </w:rPr>
      </w:pPr>
    </w:p>
    <w:p w14:paraId="00B2276D" w14:textId="77777777" w:rsidR="004B7969" w:rsidRPr="00B2226A" w:rsidRDefault="004B7969" w:rsidP="004B7969">
      <w:pPr>
        <w:pStyle w:val="NoSpacing"/>
        <w:rPr>
          <w:rFonts w:ascii="Arial" w:hAnsi="Arial" w:cs="Arial"/>
          <w:b/>
          <w:bCs/>
          <w:sz w:val="28"/>
          <w:szCs w:val="28"/>
          <w:lang w:val="en-CA"/>
        </w:rPr>
      </w:pPr>
    </w:p>
    <w:p w14:paraId="4D9F3FE9" w14:textId="77777777" w:rsidR="004B7969" w:rsidRPr="00B2226A" w:rsidRDefault="004B7969" w:rsidP="004B7969">
      <w:pPr>
        <w:pStyle w:val="NoSpacing"/>
        <w:rPr>
          <w:rFonts w:ascii="Arial" w:hAnsi="Arial" w:cs="Arial"/>
          <w:b/>
          <w:bCs/>
          <w:i/>
          <w:iCs/>
          <w:sz w:val="28"/>
          <w:szCs w:val="28"/>
          <w:lang w:val="en-CA"/>
        </w:rPr>
      </w:pPr>
    </w:p>
    <w:p w14:paraId="7163BA24" w14:textId="77777777" w:rsidR="004B7969" w:rsidRPr="00B2226A" w:rsidRDefault="004B7969" w:rsidP="004B7969">
      <w:pPr>
        <w:pStyle w:val="NoSpacing"/>
        <w:rPr>
          <w:rFonts w:ascii="Arial" w:hAnsi="Arial" w:cs="Arial"/>
          <w:b/>
          <w:bCs/>
          <w:sz w:val="28"/>
          <w:szCs w:val="28"/>
          <w:lang w:val="en-CA"/>
        </w:rPr>
      </w:pPr>
    </w:p>
    <w:p w14:paraId="19E8DCFC" w14:textId="77777777" w:rsidR="004B7969" w:rsidRPr="00B2226A" w:rsidRDefault="004B7969" w:rsidP="004B7969">
      <w:pPr>
        <w:pStyle w:val="NoSpacing"/>
        <w:rPr>
          <w:rFonts w:ascii="Arial" w:hAnsi="Arial" w:cs="Arial"/>
          <w:b/>
          <w:bCs/>
          <w:sz w:val="28"/>
          <w:szCs w:val="28"/>
          <w:lang w:val="en-CA"/>
        </w:rPr>
      </w:pPr>
    </w:p>
    <w:p w14:paraId="15726439" w14:textId="77777777" w:rsidR="004B7969" w:rsidRPr="00B2226A" w:rsidRDefault="004B7969" w:rsidP="004B7969">
      <w:pPr>
        <w:pStyle w:val="NoSpacing"/>
        <w:rPr>
          <w:rFonts w:ascii="Arial" w:hAnsi="Arial" w:cs="Arial"/>
          <w:b/>
          <w:bCs/>
          <w:sz w:val="28"/>
          <w:szCs w:val="28"/>
          <w:lang w:val="en-CA"/>
        </w:rPr>
      </w:pPr>
    </w:p>
    <w:p w14:paraId="5B316642" w14:textId="77777777" w:rsidR="006D1BE6" w:rsidRDefault="004B7969" w:rsidP="004B7969">
      <w:pPr>
        <w:pStyle w:val="NoSpacing"/>
        <w:jc w:val="center"/>
        <w:rPr>
          <w:rFonts w:ascii="Arial" w:hAnsi="Arial" w:cs="Arial"/>
          <w:b/>
          <w:bCs/>
          <w:sz w:val="32"/>
          <w:szCs w:val="32"/>
          <w:lang w:val="en-CA"/>
        </w:rPr>
      </w:pPr>
      <w:r w:rsidRPr="00B2226A">
        <w:rPr>
          <w:rFonts w:ascii="Arial" w:hAnsi="Arial" w:cs="Arial"/>
          <w:b/>
          <w:bCs/>
          <w:sz w:val="32"/>
          <w:szCs w:val="32"/>
          <w:lang w:val="en-CA"/>
        </w:rPr>
        <w:t xml:space="preserve">Terms of Reference – External Advisory Committee </w:t>
      </w:r>
    </w:p>
    <w:p w14:paraId="607BACC8" w14:textId="0B0F0B4E" w:rsidR="004B7969" w:rsidRPr="00B2226A" w:rsidRDefault="004B7969" w:rsidP="004B7969">
      <w:pPr>
        <w:pStyle w:val="NoSpacing"/>
        <w:jc w:val="center"/>
        <w:rPr>
          <w:rFonts w:ascii="Arial" w:hAnsi="Arial" w:cs="Arial"/>
          <w:b/>
          <w:bCs/>
          <w:sz w:val="32"/>
          <w:szCs w:val="32"/>
          <w:lang w:val="en-CA"/>
        </w:rPr>
      </w:pPr>
      <w:r w:rsidRPr="00B2226A">
        <w:rPr>
          <w:rFonts w:ascii="Arial" w:hAnsi="Arial" w:cs="Arial"/>
          <w:b/>
          <w:bCs/>
          <w:sz w:val="32"/>
          <w:szCs w:val="32"/>
          <w:lang w:val="en-CA"/>
        </w:rPr>
        <w:t>on Executive Compensation</w:t>
      </w:r>
    </w:p>
    <w:p w14:paraId="03A058D7" w14:textId="77777777" w:rsidR="004B7969" w:rsidRPr="00B2226A" w:rsidRDefault="004B7969" w:rsidP="004B7969">
      <w:pPr>
        <w:pStyle w:val="NoSpacing"/>
        <w:jc w:val="center"/>
        <w:rPr>
          <w:rFonts w:ascii="Arial" w:hAnsi="Arial" w:cs="Arial"/>
          <w:b/>
          <w:bCs/>
          <w:sz w:val="32"/>
          <w:szCs w:val="32"/>
          <w:lang w:val="en-CA"/>
        </w:rPr>
      </w:pPr>
    </w:p>
    <w:p w14:paraId="397CDDF6" w14:textId="77777777" w:rsidR="004B7969" w:rsidRPr="00B2226A" w:rsidRDefault="004B7969" w:rsidP="004B7969">
      <w:pPr>
        <w:pStyle w:val="NoSpacing"/>
        <w:jc w:val="center"/>
        <w:rPr>
          <w:rFonts w:ascii="Arial" w:hAnsi="Arial" w:cs="Arial"/>
          <w:b/>
          <w:bCs/>
          <w:sz w:val="32"/>
          <w:szCs w:val="32"/>
          <w:lang w:val="en-CA"/>
        </w:rPr>
      </w:pPr>
    </w:p>
    <w:p w14:paraId="065C0681" w14:textId="77777777" w:rsidR="004B7969" w:rsidRPr="00B2226A" w:rsidRDefault="004B7969" w:rsidP="004B7969">
      <w:pPr>
        <w:pStyle w:val="NoSpacing"/>
        <w:jc w:val="center"/>
        <w:rPr>
          <w:rFonts w:ascii="Arial" w:hAnsi="Arial" w:cs="Arial"/>
          <w:b/>
          <w:bCs/>
          <w:sz w:val="32"/>
          <w:szCs w:val="32"/>
          <w:lang w:val="en-CA"/>
        </w:rPr>
      </w:pPr>
    </w:p>
    <w:p w14:paraId="13723811" w14:textId="77777777" w:rsidR="004B7969" w:rsidRPr="00B2226A" w:rsidRDefault="004B7969" w:rsidP="004B7969">
      <w:pPr>
        <w:pStyle w:val="NoSpacing"/>
        <w:jc w:val="center"/>
        <w:rPr>
          <w:rFonts w:ascii="Arial" w:hAnsi="Arial" w:cs="Arial"/>
          <w:b/>
          <w:bCs/>
          <w:sz w:val="32"/>
          <w:szCs w:val="32"/>
          <w:lang w:val="en-CA"/>
        </w:rPr>
      </w:pPr>
    </w:p>
    <w:p w14:paraId="1FDD964E" w14:textId="77777777" w:rsidR="004B7969" w:rsidRPr="00B2226A" w:rsidRDefault="004B7969" w:rsidP="004B7969">
      <w:pPr>
        <w:pStyle w:val="NoSpacing"/>
        <w:jc w:val="center"/>
        <w:rPr>
          <w:rFonts w:ascii="Arial" w:hAnsi="Arial" w:cs="Arial"/>
          <w:b/>
          <w:bCs/>
          <w:sz w:val="32"/>
          <w:szCs w:val="32"/>
          <w:lang w:val="en-CA"/>
        </w:rPr>
      </w:pPr>
    </w:p>
    <w:p w14:paraId="12DBF5AC" w14:textId="77777777" w:rsidR="004B7969" w:rsidRPr="00B2226A" w:rsidRDefault="004B7969" w:rsidP="004B7969">
      <w:pPr>
        <w:pStyle w:val="NoSpacing"/>
        <w:jc w:val="center"/>
        <w:rPr>
          <w:rFonts w:ascii="Arial" w:hAnsi="Arial" w:cs="Arial"/>
          <w:b/>
          <w:bCs/>
          <w:sz w:val="32"/>
          <w:szCs w:val="32"/>
          <w:lang w:val="en-CA"/>
        </w:rPr>
      </w:pPr>
    </w:p>
    <w:p w14:paraId="1B6C77F7" w14:textId="77777777" w:rsidR="004B7969" w:rsidRPr="00B2226A" w:rsidRDefault="004B7969" w:rsidP="004B7969">
      <w:pPr>
        <w:pStyle w:val="NoSpacing"/>
        <w:jc w:val="center"/>
        <w:rPr>
          <w:rFonts w:ascii="Arial" w:hAnsi="Arial" w:cs="Arial"/>
          <w:b/>
          <w:bCs/>
          <w:sz w:val="32"/>
          <w:szCs w:val="32"/>
          <w:lang w:val="en-CA"/>
        </w:rPr>
      </w:pPr>
    </w:p>
    <w:p w14:paraId="2B430637" w14:textId="6CD31F90" w:rsidR="004B7969" w:rsidRPr="00B2226A" w:rsidRDefault="004B7969" w:rsidP="004B7969">
      <w:pPr>
        <w:pStyle w:val="NoSpacing"/>
        <w:jc w:val="center"/>
        <w:rPr>
          <w:rFonts w:ascii="Arial" w:hAnsi="Arial" w:cs="Arial"/>
          <w:b/>
          <w:bCs/>
          <w:sz w:val="32"/>
          <w:szCs w:val="32"/>
          <w:lang w:val="en-CA"/>
        </w:rPr>
      </w:pPr>
      <w:r w:rsidRPr="00B2226A">
        <w:rPr>
          <w:rFonts w:ascii="Arial" w:hAnsi="Arial" w:cs="Arial"/>
          <w:b/>
          <w:bCs/>
          <w:sz w:val="32"/>
          <w:szCs w:val="32"/>
          <w:lang w:val="en-CA"/>
        </w:rPr>
        <w:t xml:space="preserve">A Proposal to the President of </w:t>
      </w:r>
      <w:r w:rsidR="00EB7371">
        <w:rPr>
          <w:rFonts w:ascii="Arial" w:hAnsi="Arial" w:cs="Arial"/>
          <w:b/>
          <w:bCs/>
          <w:sz w:val="32"/>
          <w:szCs w:val="32"/>
          <w:lang w:val="en-CA"/>
        </w:rPr>
        <w:t xml:space="preserve">the </w:t>
      </w:r>
      <w:r w:rsidRPr="00B2226A">
        <w:rPr>
          <w:rFonts w:ascii="Arial" w:hAnsi="Arial" w:cs="Arial"/>
          <w:b/>
          <w:bCs/>
          <w:sz w:val="32"/>
          <w:szCs w:val="32"/>
          <w:lang w:val="en-CA"/>
        </w:rPr>
        <w:t xml:space="preserve">Treasury Board of Canada </w:t>
      </w:r>
    </w:p>
    <w:p w14:paraId="7F65B927" w14:textId="77777777" w:rsidR="006D1BE6" w:rsidRDefault="004B7969" w:rsidP="004B7969">
      <w:pPr>
        <w:pStyle w:val="NoSpacing"/>
        <w:jc w:val="center"/>
        <w:rPr>
          <w:rFonts w:ascii="Arial" w:hAnsi="Arial" w:cs="Arial"/>
          <w:b/>
          <w:bCs/>
          <w:sz w:val="32"/>
          <w:szCs w:val="32"/>
          <w:lang w:val="en-CA"/>
        </w:rPr>
      </w:pPr>
      <w:r w:rsidRPr="00B2226A">
        <w:rPr>
          <w:rFonts w:ascii="Arial" w:hAnsi="Arial" w:cs="Arial"/>
          <w:b/>
          <w:bCs/>
          <w:sz w:val="32"/>
          <w:szCs w:val="32"/>
          <w:lang w:val="en-CA"/>
        </w:rPr>
        <w:t xml:space="preserve">by the Association of Professional Executives of the </w:t>
      </w:r>
    </w:p>
    <w:p w14:paraId="45522A65" w14:textId="112CD14A" w:rsidR="004B7969" w:rsidRPr="00B2226A" w:rsidRDefault="004B7969" w:rsidP="004B7969">
      <w:pPr>
        <w:pStyle w:val="NoSpacing"/>
        <w:jc w:val="center"/>
        <w:rPr>
          <w:rFonts w:ascii="Arial" w:hAnsi="Arial" w:cs="Arial"/>
          <w:b/>
          <w:bCs/>
          <w:sz w:val="32"/>
          <w:szCs w:val="32"/>
          <w:lang w:val="en-CA"/>
        </w:rPr>
      </w:pPr>
      <w:r w:rsidRPr="00B2226A">
        <w:rPr>
          <w:rFonts w:ascii="Arial" w:hAnsi="Arial" w:cs="Arial"/>
          <w:b/>
          <w:bCs/>
          <w:sz w:val="32"/>
          <w:szCs w:val="32"/>
          <w:lang w:val="en-CA"/>
        </w:rPr>
        <w:t>Public Service of Canada</w:t>
      </w:r>
    </w:p>
    <w:p w14:paraId="7C314A4A" w14:textId="77777777" w:rsidR="004B7969" w:rsidRPr="00B2226A" w:rsidRDefault="004B7969" w:rsidP="004B7969">
      <w:pPr>
        <w:pStyle w:val="NoSpacing"/>
        <w:jc w:val="center"/>
        <w:rPr>
          <w:rFonts w:ascii="Arial" w:hAnsi="Arial" w:cs="Arial"/>
          <w:b/>
          <w:bCs/>
          <w:sz w:val="32"/>
          <w:szCs w:val="32"/>
          <w:lang w:val="en-CA"/>
        </w:rPr>
      </w:pPr>
    </w:p>
    <w:p w14:paraId="09FC04C7" w14:textId="77777777" w:rsidR="004B7969" w:rsidRPr="00B2226A" w:rsidRDefault="004B7969" w:rsidP="004B7969">
      <w:pPr>
        <w:pStyle w:val="NoSpacing"/>
        <w:jc w:val="center"/>
        <w:rPr>
          <w:rFonts w:ascii="Arial" w:hAnsi="Arial" w:cs="Arial"/>
          <w:b/>
          <w:bCs/>
          <w:sz w:val="32"/>
          <w:szCs w:val="32"/>
          <w:lang w:val="en-CA"/>
        </w:rPr>
      </w:pPr>
    </w:p>
    <w:p w14:paraId="244FFE91" w14:textId="77777777" w:rsidR="004B7969" w:rsidRPr="00B2226A" w:rsidRDefault="004B7969" w:rsidP="004B7969">
      <w:pPr>
        <w:pStyle w:val="NoSpacing"/>
        <w:jc w:val="center"/>
        <w:rPr>
          <w:rFonts w:ascii="Arial" w:hAnsi="Arial" w:cs="Arial"/>
          <w:b/>
          <w:bCs/>
          <w:sz w:val="32"/>
          <w:szCs w:val="32"/>
          <w:lang w:val="en-CA"/>
        </w:rPr>
      </w:pPr>
    </w:p>
    <w:p w14:paraId="2BE5C3F7" w14:textId="77777777" w:rsidR="004B7969" w:rsidRPr="00B2226A" w:rsidRDefault="004B7969" w:rsidP="004B7969">
      <w:pPr>
        <w:pStyle w:val="NoSpacing"/>
        <w:jc w:val="center"/>
        <w:rPr>
          <w:rFonts w:ascii="Arial" w:hAnsi="Arial" w:cs="Arial"/>
          <w:b/>
          <w:bCs/>
          <w:sz w:val="32"/>
          <w:szCs w:val="32"/>
          <w:lang w:val="en-CA"/>
        </w:rPr>
      </w:pPr>
    </w:p>
    <w:p w14:paraId="289B928E" w14:textId="77777777" w:rsidR="004B7969" w:rsidRPr="00B2226A" w:rsidRDefault="004B7969" w:rsidP="004B7969">
      <w:pPr>
        <w:pStyle w:val="NoSpacing"/>
        <w:jc w:val="center"/>
        <w:rPr>
          <w:rFonts w:ascii="Arial" w:hAnsi="Arial" w:cs="Arial"/>
          <w:b/>
          <w:bCs/>
          <w:sz w:val="32"/>
          <w:szCs w:val="32"/>
          <w:lang w:val="en-CA"/>
        </w:rPr>
      </w:pPr>
    </w:p>
    <w:p w14:paraId="371E663E" w14:textId="3E5849DA" w:rsidR="004B7969" w:rsidRPr="00B2226A" w:rsidRDefault="0022027E" w:rsidP="000453B5">
      <w:pPr>
        <w:pStyle w:val="NoSpacing"/>
        <w:jc w:val="center"/>
        <w:rPr>
          <w:rFonts w:ascii="Arial" w:hAnsi="Arial" w:cs="Arial"/>
          <w:sz w:val="28"/>
          <w:szCs w:val="28"/>
          <w:lang w:val="en-CA"/>
        </w:rPr>
      </w:pPr>
      <w:r>
        <w:rPr>
          <w:rFonts w:ascii="Arial" w:hAnsi="Arial" w:cs="Arial"/>
          <w:b/>
          <w:bCs/>
          <w:sz w:val="32"/>
          <w:szCs w:val="32"/>
          <w:lang w:val="en-CA"/>
        </w:rPr>
        <w:t xml:space="preserve">14 </w:t>
      </w:r>
      <w:r w:rsidR="004B7969" w:rsidRPr="00B2226A">
        <w:rPr>
          <w:rFonts w:ascii="Arial" w:hAnsi="Arial" w:cs="Arial"/>
          <w:b/>
          <w:bCs/>
          <w:sz w:val="32"/>
          <w:szCs w:val="32"/>
          <w:lang w:val="en-CA"/>
        </w:rPr>
        <w:t>February 2023</w:t>
      </w:r>
      <w:r w:rsidR="004B7969" w:rsidRPr="00B2226A">
        <w:rPr>
          <w:rFonts w:ascii="Arial" w:hAnsi="Arial" w:cs="Arial"/>
          <w:sz w:val="28"/>
          <w:szCs w:val="28"/>
          <w:lang w:val="en-CA"/>
        </w:rPr>
        <w:br w:type="page"/>
      </w:r>
    </w:p>
    <w:sdt>
      <w:sdtPr>
        <w:rPr>
          <w:rFonts w:ascii="Arial" w:eastAsia="Times New Roman" w:hAnsi="Arial" w:cs="Arial"/>
          <w:color w:val="0D0D0D" w:themeColor="text1" w:themeTint="F2"/>
          <w:kern w:val="28"/>
          <w:sz w:val="20"/>
          <w:szCs w:val="24"/>
          <w:lang w:val="fr-CA" w:eastAsia="fr-CA"/>
          <w14:ligatures w14:val="standardContextual"/>
        </w:rPr>
        <w:id w:val="1007407222"/>
        <w:docPartObj>
          <w:docPartGallery w:val="Table of Contents"/>
          <w:docPartUnique/>
        </w:docPartObj>
      </w:sdtPr>
      <w:sdtEndPr>
        <w:rPr>
          <w:b/>
          <w:bCs/>
          <w:noProof/>
        </w:rPr>
      </w:sdtEndPr>
      <w:sdtContent>
        <w:p w14:paraId="07C984B8" w14:textId="72551026" w:rsidR="00B2226A" w:rsidRPr="00A304CA" w:rsidRDefault="00B2226A" w:rsidP="00F41F01">
          <w:pPr>
            <w:pStyle w:val="TOCHeading"/>
            <w:jc w:val="center"/>
            <w:rPr>
              <w:rFonts w:ascii="Arial" w:hAnsi="Arial" w:cs="Arial"/>
              <w:b/>
              <w:bCs/>
              <w:color w:val="auto"/>
            </w:rPr>
          </w:pPr>
          <w:r w:rsidRPr="00A304CA">
            <w:rPr>
              <w:rFonts w:ascii="Arial" w:hAnsi="Arial" w:cs="Arial"/>
              <w:b/>
              <w:bCs/>
              <w:color w:val="auto"/>
            </w:rPr>
            <w:t xml:space="preserve">Table of </w:t>
          </w:r>
          <w:r w:rsidR="001E41D1">
            <w:rPr>
              <w:rFonts w:ascii="Arial" w:hAnsi="Arial" w:cs="Arial"/>
              <w:b/>
              <w:bCs/>
              <w:color w:val="auto"/>
            </w:rPr>
            <w:t>c</w:t>
          </w:r>
          <w:r w:rsidRPr="00A304CA">
            <w:rPr>
              <w:rFonts w:ascii="Arial" w:hAnsi="Arial" w:cs="Arial"/>
              <w:b/>
              <w:bCs/>
              <w:color w:val="auto"/>
            </w:rPr>
            <w:t>ontents</w:t>
          </w:r>
        </w:p>
        <w:p w14:paraId="23ECC4E8" w14:textId="46C52628" w:rsidR="00F41F01" w:rsidRDefault="00F41F01" w:rsidP="00F41F01">
          <w:pPr>
            <w:rPr>
              <w:lang w:val="en-US" w:eastAsia="en-US"/>
            </w:rPr>
          </w:pPr>
        </w:p>
        <w:p w14:paraId="1455B85B" w14:textId="77777777" w:rsidR="00B46CB2" w:rsidRPr="00F41F01" w:rsidRDefault="00B46CB2" w:rsidP="00F41F01">
          <w:pPr>
            <w:rPr>
              <w:lang w:val="en-US" w:eastAsia="en-US"/>
            </w:rPr>
          </w:pPr>
        </w:p>
        <w:p w14:paraId="3314D57D" w14:textId="54FAD980" w:rsidR="00F41F01" w:rsidRPr="00F41F01" w:rsidRDefault="00B2226A">
          <w:pPr>
            <w:pStyle w:val="TOC1"/>
            <w:tabs>
              <w:tab w:val="right" w:leader="dot" w:pos="9249"/>
            </w:tabs>
            <w:rPr>
              <w:noProof/>
              <w:sz w:val="22"/>
              <w:szCs w:val="28"/>
            </w:rPr>
          </w:pPr>
          <w:r w:rsidRPr="00B2226A">
            <w:rPr>
              <w:rFonts w:ascii="Arial" w:hAnsi="Arial" w:cs="Arial"/>
            </w:rPr>
            <w:fldChar w:fldCharType="begin"/>
          </w:r>
          <w:r w:rsidRPr="00B2226A">
            <w:rPr>
              <w:rFonts w:ascii="Arial" w:hAnsi="Arial" w:cs="Arial"/>
              <w:lang w:val="en-CA"/>
            </w:rPr>
            <w:instrText xml:space="preserve"> TOC \o "1-3" \h \z \u </w:instrText>
          </w:r>
          <w:r w:rsidRPr="00B2226A">
            <w:rPr>
              <w:rFonts w:ascii="Arial" w:hAnsi="Arial" w:cs="Arial"/>
            </w:rPr>
            <w:fldChar w:fldCharType="separate"/>
          </w:r>
          <w:hyperlink w:anchor="_Toc127177416" w:history="1">
            <w:r w:rsidR="00F41F01" w:rsidRPr="00F41F01">
              <w:rPr>
                <w:rStyle w:val="Hyperlink"/>
                <w:rFonts w:cs="Arial"/>
                <w:noProof/>
                <w:sz w:val="22"/>
                <w:szCs w:val="28"/>
                <w:lang w:val="en-CA"/>
              </w:rPr>
              <w:t>Preamble</w:t>
            </w:r>
            <w:r w:rsidR="00F41F01" w:rsidRPr="00F41F01">
              <w:rPr>
                <w:noProof/>
                <w:webHidden/>
                <w:sz w:val="22"/>
                <w:szCs w:val="28"/>
              </w:rPr>
              <w:tab/>
            </w:r>
            <w:r w:rsidR="00F41F01" w:rsidRPr="00F41F01">
              <w:rPr>
                <w:noProof/>
                <w:webHidden/>
                <w:sz w:val="22"/>
                <w:szCs w:val="28"/>
              </w:rPr>
              <w:fldChar w:fldCharType="begin"/>
            </w:r>
            <w:r w:rsidR="00F41F01" w:rsidRPr="00F41F01">
              <w:rPr>
                <w:noProof/>
                <w:webHidden/>
                <w:sz w:val="22"/>
                <w:szCs w:val="28"/>
              </w:rPr>
              <w:instrText xml:space="preserve"> PAGEREF _Toc127177416 \h </w:instrText>
            </w:r>
            <w:r w:rsidR="00F41F01" w:rsidRPr="00F41F01">
              <w:rPr>
                <w:noProof/>
                <w:webHidden/>
                <w:sz w:val="22"/>
                <w:szCs w:val="28"/>
              </w:rPr>
            </w:r>
            <w:r w:rsidR="00F41F01" w:rsidRPr="00F41F01">
              <w:rPr>
                <w:noProof/>
                <w:webHidden/>
                <w:sz w:val="22"/>
                <w:szCs w:val="28"/>
              </w:rPr>
              <w:fldChar w:fldCharType="separate"/>
            </w:r>
            <w:r w:rsidR="009911BB">
              <w:rPr>
                <w:noProof/>
                <w:webHidden/>
                <w:sz w:val="22"/>
                <w:szCs w:val="28"/>
              </w:rPr>
              <w:t>3</w:t>
            </w:r>
            <w:r w:rsidR="00F41F01" w:rsidRPr="00F41F01">
              <w:rPr>
                <w:noProof/>
                <w:webHidden/>
                <w:sz w:val="22"/>
                <w:szCs w:val="28"/>
              </w:rPr>
              <w:fldChar w:fldCharType="end"/>
            </w:r>
          </w:hyperlink>
        </w:p>
        <w:p w14:paraId="414EEADC" w14:textId="12208B81" w:rsidR="00F41F01" w:rsidRPr="00F41F01" w:rsidRDefault="009911BB">
          <w:pPr>
            <w:pStyle w:val="TOC1"/>
            <w:tabs>
              <w:tab w:val="right" w:leader="dot" w:pos="9249"/>
            </w:tabs>
            <w:rPr>
              <w:noProof/>
              <w:sz w:val="22"/>
              <w:szCs w:val="28"/>
            </w:rPr>
          </w:pPr>
          <w:hyperlink w:anchor="_Toc127177417" w:history="1">
            <w:r w:rsidR="00F41F01" w:rsidRPr="00F41F01">
              <w:rPr>
                <w:rStyle w:val="Hyperlink"/>
                <w:noProof/>
                <w:sz w:val="22"/>
                <w:szCs w:val="28"/>
                <w:lang w:val="en-CA"/>
              </w:rPr>
              <w:t>Terms of Reference – External Advisory Committee on Executive Compensation</w:t>
            </w:r>
            <w:r w:rsidR="00F41F01" w:rsidRPr="00F41F01">
              <w:rPr>
                <w:noProof/>
                <w:webHidden/>
                <w:sz w:val="22"/>
                <w:szCs w:val="28"/>
              </w:rPr>
              <w:tab/>
            </w:r>
            <w:r w:rsidR="00F41F01" w:rsidRPr="00F41F01">
              <w:rPr>
                <w:noProof/>
                <w:webHidden/>
                <w:sz w:val="22"/>
                <w:szCs w:val="28"/>
              </w:rPr>
              <w:fldChar w:fldCharType="begin"/>
            </w:r>
            <w:r w:rsidR="00F41F01" w:rsidRPr="00F41F01">
              <w:rPr>
                <w:noProof/>
                <w:webHidden/>
                <w:sz w:val="22"/>
                <w:szCs w:val="28"/>
              </w:rPr>
              <w:instrText xml:space="preserve"> PAGEREF _Toc127177417 \h </w:instrText>
            </w:r>
            <w:r w:rsidR="00F41F01" w:rsidRPr="00F41F01">
              <w:rPr>
                <w:noProof/>
                <w:webHidden/>
                <w:sz w:val="22"/>
                <w:szCs w:val="28"/>
              </w:rPr>
            </w:r>
            <w:r w:rsidR="00F41F01" w:rsidRPr="00F41F01">
              <w:rPr>
                <w:noProof/>
                <w:webHidden/>
                <w:sz w:val="22"/>
                <w:szCs w:val="28"/>
              </w:rPr>
              <w:fldChar w:fldCharType="separate"/>
            </w:r>
            <w:r>
              <w:rPr>
                <w:noProof/>
                <w:webHidden/>
                <w:sz w:val="22"/>
                <w:szCs w:val="28"/>
              </w:rPr>
              <w:t>5</w:t>
            </w:r>
            <w:r w:rsidR="00F41F01" w:rsidRPr="00F41F01">
              <w:rPr>
                <w:noProof/>
                <w:webHidden/>
                <w:sz w:val="22"/>
                <w:szCs w:val="28"/>
              </w:rPr>
              <w:fldChar w:fldCharType="end"/>
            </w:r>
          </w:hyperlink>
        </w:p>
        <w:p w14:paraId="0B94DA95" w14:textId="2E49C415" w:rsidR="00F41F01" w:rsidRPr="00F41F01" w:rsidRDefault="009911BB">
          <w:pPr>
            <w:pStyle w:val="TOC2"/>
            <w:tabs>
              <w:tab w:val="right" w:leader="dot" w:pos="9249"/>
            </w:tabs>
            <w:rPr>
              <w:noProof/>
              <w:sz w:val="22"/>
              <w:szCs w:val="28"/>
            </w:rPr>
          </w:pPr>
          <w:hyperlink w:anchor="_Toc127177418" w:history="1">
            <w:r w:rsidR="00F41F01" w:rsidRPr="00F41F01">
              <w:rPr>
                <w:rStyle w:val="Hyperlink"/>
                <w:noProof/>
                <w:sz w:val="22"/>
                <w:szCs w:val="28"/>
                <w:lang w:val="en-CA"/>
              </w:rPr>
              <w:t>Purpose</w:t>
            </w:r>
            <w:r w:rsidR="00F41F01" w:rsidRPr="00F41F01">
              <w:rPr>
                <w:noProof/>
                <w:webHidden/>
                <w:sz w:val="22"/>
                <w:szCs w:val="28"/>
              </w:rPr>
              <w:tab/>
            </w:r>
            <w:r w:rsidR="00F41F01" w:rsidRPr="00F41F01">
              <w:rPr>
                <w:noProof/>
                <w:webHidden/>
                <w:sz w:val="22"/>
                <w:szCs w:val="28"/>
              </w:rPr>
              <w:fldChar w:fldCharType="begin"/>
            </w:r>
            <w:r w:rsidR="00F41F01" w:rsidRPr="00F41F01">
              <w:rPr>
                <w:noProof/>
                <w:webHidden/>
                <w:sz w:val="22"/>
                <w:szCs w:val="28"/>
              </w:rPr>
              <w:instrText xml:space="preserve"> PAGEREF _Toc127177418 \h </w:instrText>
            </w:r>
            <w:r w:rsidR="00F41F01" w:rsidRPr="00F41F01">
              <w:rPr>
                <w:noProof/>
                <w:webHidden/>
                <w:sz w:val="22"/>
                <w:szCs w:val="28"/>
              </w:rPr>
            </w:r>
            <w:r w:rsidR="00F41F01" w:rsidRPr="00F41F01">
              <w:rPr>
                <w:noProof/>
                <w:webHidden/>
                <w:sz w:val="22"/>
                <w:szCs w:val="28"/>
              </w:rPr>
              <w:fldChar w:fldCharType="separate"/>
            </w:r>
            <w:r>
              <w:rPr>
                <w:noProof/>
                <w:webHidden/>
                <w:sz w:val="22"/>
                <w:szCs w:val="28"/>
              </w:rPr>
              <w:t>5</w:t>
            </w:r>
            <w:r w:rsidR="00F41F01" w:rsidRPr="00F41F01">
              <w:rPr>
                <w:noProof/>
                <w:webHidden/>
                <w:sz w:val="22"/>
                <w:szCs w:val="28"/>
              </w:rPr>
              <w:fldChar w:fldCharType="end"/>
            </w:r>
          </w:hyperlink>
        </w:p>
        <w:p w14:paraId="689245BE" w14:textId="54962BBF" w:rsidR="00F41F01" w:rsidRPr="00F41F01" w:rsidRDefault="009911BB">
          <w:pPr>
            <w:pStyle w:val="TOC2"/>
            <w:tabs>
              <w:tab w:val="right" w:leader="dot" w:pos="9249"/>
            </w:tabs>
            <w:rPr>
              <w:noProof/>
              <w:sz w:val="22"/>
              <w:szCs w:val="28"/>
            </w:rPr>
          </w:pPr>
          <w:hyperlink w:anchor="_Toc127177419" w:history="1">
            <w:r w:rsidR="00F41F01" w:rsidRPr="00F41F01">
              <w:rPr>
                <w:rStyle w:val="Hyperlink"/>
                <w:noProof/>
                <w:sz w:val="22"/>
                <w:szCs w:val="28"/>
                <w:lang w:val="en-CA"/>
              </w:rPr>
              <w:t>Mandate</w:t>
            </w:r>
            <w:r w:rsidR="00F41F01" w:rsidRPr="00F41F01">
              <w:rPr>
                <w:noProof/>
                <w:webHidden/>
                <w:sz w:val="22"/>
                <w:szCs w:val="28"/>
              </w:rPr>
              <w:tab/>
            </w:r>
            <w:r w:rsidR="00F41F01" w:rsidRPr="00F41F01">
              <w:rPr>
                <w:noProof/>
                <w:webHidden/>
                <w:sz w:val="22"/>
                <w:szCs w:val="28"/>
              </w:rPr>
              <w:fldChar w:fldCharType="begin"/>
            </w:r>
            <w:r w:rsidR="00F41F01" w:rsidRPr="00F41F01">
              <w:rPr>
                <w:noProof/>
                <w:webHidden/>
                <w:sz w:val="22"/>
                <w:szCs w:val="28"/>
              </w:rPr>
              <w:instrText xml:space="preserve"> PAGEREF _Toc127177419 \h </w:instrText>
            </w:r>
            <w:r w:rsidR="00F41F01" w:rsidRPr="00F41F01">
              <w:rPr>
                <w:noProof/>
                <w:webHidden/>
                <w:sz w:val="22"/>
                <w:szCs w:val="28"/>
              </w:rPr>
            </w:r>
            <w:r w:rsidR="00F41F01" w:rsidRPr="00F41F01">
              <w:rPr>
                <w:noProof/>
                <w:webHidden/>
                <w:sz w:val="22"/>
                <w:szCs w:val="28"/>
              </w:rPr>
              <w:fldChar w:fldCharType="separate"/>
            </w:r>
            <w:r>
              <w:rPr>
                <w:noProof/>
                <w:webHidden/>
                <w:sz w:val="22"/>
                <w:szCs w:val="28"/>
              </w:rPr>
              <w:t>5</w:t>
            </w:r>
            <w:r w:rsidR="00F41F01" w:rsidRPr="00F41F01">
              <w:rPr>
                <w:noProof/>
                <w:webHidden/>
                <w:sz w:val="22"/>
                <w:szCs w:val="28"/>
              </w:rPr>
              <w:fldChar w:fldCharType="end"/>
            </w:r>
          </w:hyperlink>
        </w:p>
        <w:p w14:paraId="4E8A6C07" w14:textId="7E2D95F4" w:rsidR="00F41F01" w:rsidRPr="00F41F01" w:rsidRDefault="009911BB">
          <w:pPr>
            <w:pStyle w:val="TOC2"/>
            <w:tabs>
              <w:tab w:val="right" w:leader="dot" w:pos="9249"/>
            </w:tabs>
            <w:rPr>
              <w:noProof/>
              <w:sz w:val="22"/>
              <w:szCs w:val="28"/>
            </w:rPr>
          </w:pPr>
          <w:hyperlink w:anchor="_Toc127177420" w:history="1">
            <w:r w:rsidR="00F41F01" w:rsidRPr="00F41F01">
              <w:rPr>
                <w:rStyle w:val="Hyperlink"/>
                <w:noProof/>
                <w:sz w:val="22"/>
                <w:szCs w:val="28"/>
                <w:lang w:val="en-CA"/>
              </w:rPr>
              <w:t>Duties</w:t>
            </w:r>
            <w:r w:rsidR="00F41F01" w:rsidRPr="00F41F01">
              <w:rPr>
                <w:noProof/>
                <w:webHidden/>
                <w:sz w:val="22"/>
                <w:szCs w:val="28"/>
              </w:rPr>
              <w:tab/>
            </w:r>
            <w:r w:rsidR="00F41F01" w:rsidRPr="00F41F01">
              <w:rPr>
                <w:noProof/>
                <w:webHidden/>
                <w:sz w:val="22"/>
                <w:szCs w:val="28"/>
              </w:rPr>
              <w:fldChar w:fldCharType="begin"/>
            </w:r>
            <w:r w:rsidR="00F41F01" w:rsidRPr="00F41F01">
              <w:rPr>
                <w:noProof/>
                <w:webHidden/>
                <w:sz w:val="22"/>
                <w:szCs w:val="28"/>
              </w:rPr>
              <w:instrText xml:space="preserve"> PAGEREF _Toc127177420 \h </w:instrText>
            </w:r>
            <w:r w:rsidR="00F41F01" w:rsidRPr="00F41F01">
              <w:rPr>
                <w:noProof/>
                <w:webHidden/>
                <w:sz w:val="22"/>
                <w:szCs w:val="28"/>
              </w:rPr>
            </w:r>
            <w:r w:rsidR="00F41F01" w:rsidRPr="00F41F01">
              <w:rPr>
                <w:noProof/>
                <w:webHidden/>
                <w:sz w:val="22"/>
                <w:szCs w:val="28"/>
              </w:rPr>
              <w:fldChar w:fldCharType="separate"/>
            </w:r>
            <w:r>
              <w:rPr>
                <w:noProof/>
                <w:webHidden/>
                <w:sz w:val="22"/>
                <w:szCs w:val="28"/>
              </w:rPr>
              <w:t>6</w:t>
            </w:r>
            <w:r w:rsidR="00F41F01" w:rsidRPr="00F41F01">
              <w:rPr>
                <w:noProof/>
                <w:webHidden/>
                <w:sz w:val="22"/>
                <w:szCs w:val="28"/>
              </w:rPr>
              <w:fldChar w:fldCharType="end"/>
            </w:r>
          </w:hyperlink>
        </w:p>
        <w:p w14:paraId="2F5F38DD" w14:textId="3B6D9C63" w:rsidR="00F41F01" w:rsidRPr="00F41F01" w:rsidRDefault="009911BB">
          <w:pPr>
            <w:pStyle w:val="TOC2"/>
            <w:tabs>
              <w:tab w:val="right" w:leader="dot" w:pos="9249"/>
            </w:tabs>
            <w:rPr>
              <w:noProof/>
              <w:sz w:val="22"/>
              <w:szCs w:val="28"/>
            </w:rPr>
          </w:pPr>
          <w:hyperlink w:anchor="_Toc127177421" w:history="1">
            <w:r w:rsidR="00F41F01" w:rsidRPr="00F41F01">
              <w:rPr>
                <w:rStyle w:val="Hyperlink"/>
                <w:noProof/>
                <w:sz w:val="22"/>
                <w:szCs w:val="28"/>
                <w:lang w:val="en-CA"/>
              </w:rPr>
              <w:t>Guiding Principles</w:t>
            </w:r>
            <w:r w:rsidR="00F41F01" w:rsidRPr="00F41F01">
              <w:rPr>
                <w:noProof/>
                <w:webHidden/>
                <w:sz w:val="22"/>
                <w:szCs w:val="28"/>
              </w:rPr>
              <w:tab/>
            </w:r>
            <w:r w:rsidR="00F41F01" w:rsidRPr="00F41F01">
              <w:rPr>
                <w:noProof/>
                <w:webHidden/>
                <w:sz w:val="22"/>
                <w:szCs w:val="28"/>
              </w:rPr>
              <w:fldChar w:fldCharType="begin"/>
            </w:r>
            <w:r w:rsidR="00F41F01" w:rsidRPr="00F41F01">
              <w:rPr>
                <w:noProof/>
                <w:webHidden/>
                <w:sz w:val="22"/>
                <w:szCs w:val="28"/>
              </w:rPr>
              <w:instrText xml:space="preserve"> PAGEREF _Toc127177421 \h </w:instrText>
            </w:r>
            <w:r w:rsidR="00F41F01" w:rsidRPr="00F41F01">
              <w:rPr>
                <w:noProof/>
                <w:webHidden/>
                <w:sz w:val="22"/>
                <w:szCs w:val="28"/>
              </w:rPr>
            </w:r>
            <w:r w:rsidR="00F41F01" w:rsidRPr="00F41F01">
              <w:rPr>
                <w:noProof/>
                <w:webHidden/>
                <w:sz w:val="22"/>
                <w:szCs w:val="28"/>
              </w:rPr>
              <w:fldChar w:fldCharType="separate"/>
            </w:r>
            <w:r>
              <w:rPr>
                <w:noProof/>
                <w:webHidden/>
                <w:sz w:val="22"/>
                <w:szCs w:val="28"/>
              </w:rPr>
              <w:t>7</w:t>
            </w:r>
            <w:r w:rsidR="00F41F01" w:rsidRPr="00F41F01">
              <w:rPr>
                <w:noProof/>
                <w:webHidden/>
                <w:sz w:val="22"/>
                <w:szCs w:val="28"/>
              </w:rPr>
              <w:fldChar w:fldCharType="end"/>
            </w:r>
          </w:hyperlink>
        </w:p>
        <w:p w14:paraId="73153479" w14:textId="07227A06" w:rsidR="00F41F01" w:rsidRPr="00F41F01" w:rsidRDefault="009911BB">
          <w:pPr>
            <w:pStyle w:val="TOC2"/>
            <w:tabs>
              <w:tab w:val="right" w:leader="dot" w:pos="9249"/>
            </w:tabs>
            <w:rPr>
              <w:noProof/>
              <w:sz w:val="22"/>
              <w:szCs w:val="28"/>
            </w:rPr>
          </w:pPr>
          <w:hyperlink w:anchor="_Toc127177422" w:history="1">
            <w:r w:rsidR="00F41F01" w:rsidRPr="00F41F01">
              <w:rPr>
                <w:rStyle w:val="Hyperlink"/>
                <w:noProof/>
                <w:sz w:val="22"/>
                <w:szCs w:val="28"/>
                <w:lang w:val="en-CA"/>
              </w:rPr>
              <w:t>Methodology</w:t>
            </w:r>
            <w:r w:rsidR="00F41F01" w:rsidRPr="00F41F01">
              <w:rPr>
                <w:noProof/>
                <w:webHidden/>
                <w:sz w:val="22"/>
                <w:szCs w:val="28"/>
              </w:rPr>
              <w:tab/>
            </w:r>
            <w:r w:rsidR="00F41F01" w:rsidRPr="00F41F01">
              <w:rPr>
                <w:noProof/>
                <w:webHidden/>
                <w:sz w:val="22"/>
                <w:szCs w:val="28"/>
              </w:rPr>
              <w:fldChar w:fldCharType="begin"/>
            </w:r>
            <w:r w:rsidR="00F41F01" w:rsidRPr="00F41F01">
              <w:rPr>
                <w:noProof/>
                <w:webHidden/>
                <w:sz w:val="22"/>
                <w:szCs w:val="28"/>
              </w:rPr>
              <w:instrText xml:space="preserve"> PAGEREF _Toc127177422 \h </w:instrText>
            </w:r>
            <w:r w:rsidR="00F41F01" w:rsidRPr="00F41F01">
              <w:rPr>
                <w:noProof/>
                <w:webHidden/>
                <w:sz w:val="22"/>
                <w:szCs w:val="28"/>
              </w:rPr>
            </w:r>
            <w:r w:rsidR="00F41F01" w:rsidRPr="00F41F01">
              <w:rPr>
                <w:noProof/>
                <w:webHidden/>
                <w:sz w:val="22"/>
                <w:szCs w:val="28"/>
              </w:rPr>
              <w:fldChar w:fldCharType="separate"/>
            </w:r>
            <w:r>
              <w:rPr>
                <w:noProof/>
                <w:webHidden/>
                <w:sz w:val="22"/>
                <w:szCs w:val="28"/>
              </w:rPr>
              <w:t>8</w:t>
            </w:r>
            <w:r w:rsidR="00F41F01" w:rsidRPr="00F41F01">
              <w:rPr>
                <w:noProof/>
                <w:webHidden/>
                <w:sz w:val="22"/>
                <w:szCs w:val="28"/>
              </w:rPr>
              <w:fldChar w:fldCharType="end"/>
            </w:r>
          </w:hyperlink>
        </w:p>
        <w:p w14:paraId="0F8AFD05" w14:textId="08019CEE" w:rsidR="00F41F01" w:rsidRPr="00F41F01" w:rsidRDefault="009911BB">
          <w:pPr>
            <w:pStyle w:val="TOC2"/>
            <w:tabs>
              <w:tab w:val="right" w:leader="dot" w:pos="9249"/>
            </w:tabs>
            <w:rPr>
              <w:noProof/>
              <w:sz w:val="22"/>
              <w:szCs w:val="28"/>
            </w:rPr>
          </w:pPr>
          <w:hyperlink w:anchor="_Toc127177423" w:history="1">
            <w:r w:rsidR="00F41F01" w:rsidRPr="00F41F01">
              <w:rPr>
                <w:rStyle w:val="Hyperlink"/>
                <w:noProof/>
                <w:sz w:val="22"/>
                <w:szCs w:val="28"/>
                <w:lang w:val="en-CA"/>
              </w:rPr>
              <w:t>Expected Outcome</w:t>
            </w:r>
            <w:r w:rsidR="00F41F01" w:rsidRPr="00F41F01">
              <w:rPr>
                <w:noProof/>
                <w:webHidden/>
                <w:sz w:val="22"/>
                <w:szCs w:val="28"/>
              </w:rPr>
              <w:tab/>
            </w:r>
            <w:r w:rsidR="00F41F01" w:rsidRPr="00F41F01">
              <w:rPr>
                <w:noProof/>
                <w:webHidden/>
                <w:sz w:val="22"/>
                <w:szCs w:val="28"/>
              </w:rPr>
              <w:fldChar w:fldCharType="begin"/>
            </w:r>
            <w:r w:rsidR="00F41F01" w:rsidRPr="00F41F01">
              <w:rPr>
                <w:noProof/>
                <w:webHidden/>
                <w:sz w:val="22"/>
                <w:szCs w:val="28"/>
              </w:rPr>
              <w:instrText xml:space="preserve"> PAGEREF _Toc127177423 \h </w:instrText>
            </w:r>
            <w:r w:rsidR="00F41F01" w:rsidRPr="00F41F01">
              <w:rPr>
                <w:noProof/>
                <w:webHidden/>
                <w:sz w:val="22"/>
                <w:szCs w:val="28"/>
              </w:rPr>
            </w:r>
            <w:r w:rsidR="00F41F01" w:rsidRPr="00F41F01">
              <w:rPr>
                <w:noProof/>
                <w:webHidden/>
                <w:sz w:val="22"/>
                <w:szCs w:val="28"/>
              </w:rPr>
              <w:fldChar w:fldCharType="separate"/>
            </w:r>
            <w:r>
              <w:rPr>
                <w:noProof/>
                <w:webHidden/>
                <w:sz w:val="22"/>
                <w:szCs w:val="28"/>
              </w:rPr>
              <w:t>9</w:t>
            </w:r>
            <w:r w:rsidR="00F41F01" w:rsidRPr="00F41F01">
              <w:rPr>
                <w:noProof/>
                <w:webHidden/>
                <w:sz w:val="22"/>
                <w:szCs w:val="28"/>
              </w:rPr>
              <w:fldChar w:fldCharType="end"/>
            </w:r>
          </w:hyperlink>
        </w:p>
        <w:p w14:paraId="6219746B" w14:textId="08F9F71A" w:rsidR="00F41F01" w:rsidRPr="00F41F01" w:rsidRDefault="009911BB">
          <w:pPr>
            <w:pStyle w:val="TOC2"/>
            <w:tabs>
              <w:tab w:val="right" w:leader="dot" w:pos="9249"/>
            </w:tabs>
            <w:rPr>
              <w:noProof/>
              <w:sz w:val="22"/>
              <w:szCs w:val="28"/>
            </w:rPr>
          </w:pPr>
          <w:hyperlink w:anchor="_Toc127177424" w:history="1">
            <w:r w:rsidR="00F41F01" w:rsidRPr="00F41F01">
              <w:rPr>
                <w:rStyle w:val="Hyperlink"/>
                <w:noProof/>
                <w:sz w:val="22"/>
                <w:szCs w:val="28"/>
                <w:lang w:val="en-CA"/>
              </w:rPr>
              <w:t>Review of Terms of Reference</w:t>
            </w:r>
            <w:r w:rsidR="00F41F01" w:rsidRPr="00F41F01">
              <w:rPr>
                <w:noProof/>
                <w:webHidden/>
                <w:sz w:val="22"/>
                <w:szCs w:val="28"/>
              </w:rPr>
              <w:tab/>
            </w:r>
            <w:r w:rsidR="00F41F01" w:rsidRPr="00F41F01">
              <w:rPr>
                <w:noProof/>
                <w:webHidden/>
                <w:sz w:val="22"/>
                <w:szCs w:val="28"/>
              </w:rPr>
              <w:fldChar w:fldCharType="begin"/>
            </w:r>
            <w:r w:rsidR="00F41F01" w:rsidRPr="00F41F01">
              <w:rPr>
                <w:noProof/>
                <w:webHidden/>
                <w:sz w:val="22"/>
                <w:szCs w:val="28"/>
              </w:rPr>
              <w:instrText xml:space="preserve"> PAGEREF _Toc127177424 \h </w:instrText>
            </w:r>
            <w:r w:rsidR="00F41F01" w:rsidRPr="00F41F01">
              <w:rPr>
                <w:noProof/>
                <w:webHidden/>
                <w:sz w:val="22"/>
                <w:szCs w:val="28"/>
              </w:rPr>
            </w:r>
            <w:r w:rsidR="00F41F01" w:rsidRPr="00F41F01">
              <w:rPr>
                <w:noProof/>
                <w:webHidden/>
                <w:sz w:val="22"/>
                <w:szCs w:val="28"/>
              </w:rPr>
              <w:fldChar w:fldCharType="separate"/>
            </w:r>
            <w:r>
              <w:rPr>
                <w:noProof/>
                <w:webHidden/>
                <w:sz w:val="22"/>
                <w:szCs w:val="28"/>
              </w:rPr>
              <w:t>9</w:t>
            </w:r>
            <w:r w:rsidR="00F41F01" w:rsidRPr="00F41F01">
              <w:rPr>
                <w:noProof/>
                <w:webHidden/>
                <w:sz w:val="22"/>
                <w:szCs w:val="28"/>
              </w:rPr>
              <w:fldChar w:fldCharType="end"/>
            </w:r>
          </w:hyperlink>
        </w:p>
        <w:p w14:paraId="05941147" w14:textId="47DE10F9" w:rsidR="00F41F01" w:rsidRDefault="009911BB">
          <w:pPr>
            <w:pStyle w:val="TOC1"/>
            <w:tabs>
              <w:tab w:val="right" w:leader="dot" w:pos="9249"/>
            </w:tabs>
            <w:rPr>
              <w:noProof/>
            </w:rPr>
          </w:pPr>
          <w:hyperlink w:anchor="_Toc127177425" w:history="1">
            <w:r w:rsidR="00F41F01" w:rsidRPr="00F41F01">
              <w:rPr>
                <w:rStyle w:val="Hyperlink"/>
                <w:noProof/>
                <w:sz w:val="22"/>
                <w:szCs w:val="28"/>
                <w:lang w:val="en-CA"/>
              </w:rPr>
              <w:t>Glossary of Terms</w:t>
            </w:r>
            <w:r w:rsidR="00F41F01" w:rsidRPr="00F41F01">
              <w:rPr>
                <w:noProof/>
                <w:webHidden/>
                <w:sz w:val="22"/>
                <w:szCs w:val="28"/>
              </w:rPr>
              <w:tab/>
            </w:r>
            <w:r w:rsidR="00F41F01" w:rsidRPr="00F41F01">
              <w:rPr>
                <w:noProof/>
                <w:webHidden/>
                <w:sz w:val="22"/>
                <w:szCs w:val="28"/>
              </w:rPr>
              <w:fldChar w:fldCharType="begin"/>
            </w:r>
            <w:r w:rsidR="00F41F01" w:rsidRPr="00F41F01">
              <w:rPr>
                <w:noProof/>
                <w:webHidden/>
                <w:sz w:val="22"/>
                <w:szCs w:val="28"/>
              </w:rPr>
              <w:instrText xml:space="preserve"> PAGEREF _Toc127177425 \h </w:instrText>
            </w:r>
            <w:r w:rsidR="00F41F01" w:rsidRPr="00F41F01">
              <w:rPr>
                <w:noProof/>
                <w:webHidden/>
                <w:sz w:val="22"/>
                <w:szCs w:val="28"/>
              </w:rPr>
            </w:r>
            <w:r w:rsidR="00F41F01" w:rsidRPr="00F41F01">
              <w:rPr>
                <w:noProof/>
                <w:webHidden/>
                <w:sz w:val="22"/>
                <w:szCs w:val="28"/>
              </w:rPr>
              <w:fldChar w:fldCharType="separate"/>
            </w:r>
            <w:r>
              <w:rPr>
                <w:noProof/>
                <w:webHidden/>
                <w:sz w:val="22"/>
                <w:szCs w:val="28"/>
              </w:rPr>
              <w:t>11</w:t>
            </w:r>
            <w:r w:rsidR="00F41F01" w:rsidRPr="00F41F01">
              <w:rPr>
                <w:noProof/>
                <w:webHidden/>
                <w:sz w:val="22"/>
                <w:szCs w:val="28"/>
              </w:rPr>
              <w:fldChar w:fldCharType="end"/>
            </w:r>
          </w:hyperlink>
        </w:p>
        <w:p w14:paraId="58F53692" w14:textId="1C67938E" w:rsidR="00B2226A" w:rsidRPr="00B2226A" w:rsidRDefault="00B2226A">
          <w:pPr>
            <w:rPr>
              <w:rFonts w:ascii="Arial" w:hAnsi="Arial" w:cs="Arial"/>
              <w:lang w:val="en-CA"/>
            </w:rPr>
          </w:pPr>
          <w:r w:rsidRPr="00B2226A">
            <w:rPr>
              <w:rFonts w:ascii="Arial" w:hAnsi="Arial" w:cs="Arial"/>
              <w:b/>
              <w:bCs/>
              <w:noProof/>
            </w:rPr>
            <w:fldChar w:fldCharType="end"/>
          </w:r>
        </w:p>
      </w:sdtContent>
    </w:sdt>
    <w:p w14:paraId="169920DF" w14:textId="77777777" w:rsidR="000453B5" w:rsidRPr="00B2226A" w:rsidRDefault="000453B5" w:rsidP="004B7969">
      <w:pPr>
        <w:pStyle w:val="NoSpacing"/>
        <w:rPr>
          <w:rFonts w:ascii="Arial" w:hAnsi="Arial" w:cs="Arial"/>
          <w:sz w:val="28"/>
          <w:szCs w:val="28"/>
          <w:lang w:val="en-CA"/>
        </w:rPr>
      </w:pPr>
    </w:p>
    <w:p w14:paraId="2034FE7F" w14:textId="77777777" w:rsidR="00F41F01" w:rsidRDefault="00F41F01">
      <w:pPr>
        <w:rPr>
          <w:rFonts w:ascii="Arial" w:hAnsi="Arial" w:cs="Arial"/>
          <w:b/>
          <w:smallCaps/>
          <w:sz w:val="32"/>
          <w:szCs w:val="20"/>
          <w:lang w:val="en-CA"/>
        </w:rPr>
      </w:pPr>
      <w:bookmarkStart w:id="0" w:name="_Toc127177416"/>
      <w:r>
        <w:rPr>
          <w:rFonts w:cs="Arial"/>
          <w:lang w:val="en-CA"/>
        </w:rPr>
        <w:br w:type="page"/>
      </w:r>
    </w:p>
    <w:p w14:paraId="24451A8A" w14:textId="44482EB7" w:rsidR="004B7969" w:rsidRPr="00B2226A" w:rsidRDefault="004B7969" w:rsidP="00B2226A">
      <w:pPr>
        <w:pStyle w:val="Heading1"/>
        <w:rPr>
          <w:rFonts w:cs="Arial"/>
          <w:lang w:val="en-CA"/>
        </w:rPr>
      </w:pPr>
      <w:r w:rsidRPr="00B2226A">
        <w:rPr>
          <w:rFonts w:cs="Arial"/>
          <w:lang w:val="en-CA"/>
        </w:rPr>
        <w:lastRenderedPageBreak/>
        <w:t>Preamble</w:t>
      </w:r>
      <w:bookmarkEnd w:id="0"/>
    </w:p>
    <w:p w14:paraId="0A17D496" w14:textId="77777777" w:rsidR="004B7969" w:rsidRPr="00B2226A" w:rsidRDefault="004B7969" w:rsidP="004B7969">
      <w:pPr>
        <w:pStyle w:val="NoSpacing"/>
        <w:rPr>
          <w:rFonts w:ascii="Arial" w:hAnsi="Arial" w:cs="Arial"/>
          <w:sz w:val="28"/>
          <w:szCs w:val="28"/>
          <w:lang w:val="en-CA"/>
        </w:rPr>
      </w:pPr>
    </w:p>
    <w:p w14:paraId="4F4337A9" w14:textId="017A4777" w:rsidR="004B7969" w:rsidRPr="00B2226A" w:rsidRDefault="004B7969" w:rsidP="004B7969">
      <w:pPr>
        <w:pStyle w:val="NoSpacing"/>
        <w:rPr>
          <w:rFonts w:ascii="Arial" w:hAnsi="Arial" w:cs="Arial"/>
          <w:sz w:val="24"/>
          <w:szCs w:val="24"/>
          <w:lang w:val="en-CA"/>
        </w:rPr>
      </w:pPr>
      <w:r w:rsidRPr="00B2226A">
        <w:rPr>
          <w:rFonts w:ascii="Arial" w:hAnsi="Arial" w:cs="Arial"/>
          <w:sz w:val="24"/>
          <w:szCs w:val="24"/>
          <w:lang w:val="en-CA"/>
        </w:rPr>
        <w:t>The Executive Group is comprised of over 8,500</w:t>
      </w:r>
      <w:r w:rsidRPr="00B2226A">
        <w:rPr>
          <w:rStyle w:val="FootnoteReference"/>
          <w:rFonts w:ascii="Arial" w:hAnsi="Arial" w:cs="Arial"/>
          <w:sz w:val="24"/>
          <w:szCs w:val="24"/>
          <w:lang w:val="en-CA"/>
        </w:rPr>
        <w:footnoteReference w:id="1"/>
      </w:r>
      <w:r w:rsidRPr="00B2226A">
        <w:rPr>
          <w:rFonts w:ascii="Arial" w:hAnsi="Arial" w:cs="Arial"/>
          <w:sz w:val="24"/>
          <w:szCs w:val="24"/>
          <w:lang w:val="en-CA"/>
        </w:rPr>
        <w:t xml:space="preserve"> individuals having significant executive managerial or policy roles and responsibilities, influencing the direction of 89 Government of Canada departments and agencies. Positions in this </w:t>
      </w:r>
      <w:r w:rsidR="001E41D1">
        <w:rPr>
          <w:rFonts w:ascii="Arial" w:hAnsi="Arial" w:cs="Arial"/>
          <w:sz w:val="24"/>
          <w:szCs w:val="24"/>
          <w:lang w:val="en-CA"/>
        </w:rPr>
        <w:t>g</w:t>
      </w:r>
      <w:r w:rsidRPr="00B2226A">
        <w:rPr>
          <w:rFonts w:ascii="Arial" w:hAnsi="Arial" w:cs="Arial"/>
          <w:sz w:val="24"/>
          <w:szCs w:val="24"/>
          <w:lang w:val="en-CA"/>
        </w:rPr>
        <w:t>roup are responsible and accountable for exercising executive managerial authority over 327,451</w:t>
      </w:r>
      <w:r w:rsidRPr="00B2226A">
        <w:rPr>
          <w:rStyle w:val="FootnoteReference"/>
          <w:rFonts w:ascii="Arial" w:hAnsi="Arial" w:cs="Arial"/>
          <w:sz w:val="24"/>
          <w:szCs w:val="24"/>
          <w:lang w:val="en-CA"/>
        </w:rPr>
        <w:footnoteReference w:id="2"/>
      </w:r>
      <w:r w:rsidRPr="00B2226A">
        <w:rPr>
          <w:rFonts w:ascii="Arial" w:hAnsi="Arial" w:cs="Arial"/>
          <w:sz w:val="24"/>
          <w:szCs w:val="24"/>
          <w:lang w:val="en-CA"/>
        </w:rPr>
        <w:t xml:space="preserve"> employees and providing recommendations and advice on the exercise of that authority.</w:t>
      </w:r>
    </w:p>
    <w:p w14:paraId="60BB3EEF" w14:textId="77777777" w:rsidR="004B7969" w:rsidRPr="00B2226A" w:rsidRDefault="004B7969" w:rsidP="004B7969">
      <w:pPr>
        <w:pStyle w:val="NoSpacing"/>
        <w:rPr>
          <w:rFonts w:ascii="Arial" w:hAnsi="Arial" w:cs="Arial"/>
          <w:sz w:val="24"/>
          <w:szCs w:val="24"/>
          <w:lang w:val="en-CA"/>
        </w:rPr>
      </w:pPr>
    </w:p>
    <w:p w14:paraId="0A6A5049" w14:textId="50389751" w:rsidR="004B7969" w:rsidRPr="00B2226A" w:rsidRDefault="004B7969" w:rsidP="004B7969">
      <w:pPr>
        <w:pStyle w:val="NoSpacing"/>
        <w:rPr>
          <w:rFonts w:ascii="Arial" w:hAnsi="Arial" w:cs="Arial"/>
          <w:sz w:val="24"/>
          <w:szCs w:val="24"/>
          <w:lang w:val="en-CA"/>
        </w:rPr>
      </w:pPr>
      <w:bookmarkStart w:id="1" w:name="_Hlk126914319"/>
      <w:r w:rsidRPr="00B2226A">
        <w:rPr>
          <w:rFonts w:ascii="Arial" w:hAnsi="Arial" w:cs="Arial"/>
          <w:sz w:val="24"/>
          <w:szCs w:val="24"/>
          <w:lang w:val="en-CA"/>
        </w:rPr>
        <w:t xml:space="preserve">These executives are essential to the proper management and operations of the public service and in the provision of programs and services provided to Canadians. Executives are essential to the success of the public service by managing tens of billions of dollars in benefit programs for Canadians, ensuring orderly and safe borders crossed by millions of travellers and billions of </w:t>
      </w:r>
      <w:r w:rsidR="0022027E">
        <w:rPr>
          <w:rFonts w:ascii="Arial" w:hAnsi="Arial" w:cs="Arial"/>
          <w:sz w:val="24"/>
          <w:szCs w:val="24"/>
          <w:lang w:val="en-CA"/>
        </w:rPr>
        <w:t xml:space="preserve">dollars of </w:t>
      </w:r>
      <w:r w:rsidRPr="00B2226A">
        <w:rPr>
          <w:rFonts w:ascii="Arial" w:hAnsi="Arial" w:cs="Arial"/>
          <w:sz w:val="24"/>
          <w:szCs w:val="24"/>
          <w:lang w:val="en-CA"/>
        </w:rPr>
        <w:t xml:space="preserve">goods, ensuring Canadians’ safety and security, collecting hundreds of billions of dollars in tax revenue that ensures the stability of government programs, negotiating and administering numerous trade agreements, facilitating the transfer of billions of dollars in support of provinces and territories through the Canada Health Transfer, Canada Social Transfer, Equalization and Territorial Formula Financing and during the </w:t>
      </w:r>
      <w:r w:rsidR="006D1BE6">
        <w:rPr>
          <w:rFonts w:ascii="Arial" w:hAnsi="Arial" w:cs="Arial"/>
          <w:sz w:val="24"/>
          <w:szCs w:val="24"/>
          <w:lang w:val="en-CA"/>
        </w:rPr>
        <w:t>COVID</w:t>
      </w:r>
      <w:r w:rsidRPr="00B2226A">
        <w:rPr>
          <w:rFonts w:ascii="Arial" w:hAnsi="Arial" w:cs="Arial"/>
          <w:sz w:val="24"/>
          <w:szCs w:val="24"/>
          <w:lang w:val="en-CA"/>
        </w:rPr>
        <w:t xml:space="preserve"> pandemic, securing and distributing ample vaccine for all Canadians. The value and importance of the executive cadre is uncontested and requires attention and treatment equal to its value to Canada and Canadians.  </w:t>
      </w:r>
    </w:p>
    <w:bookmarkEnd w:id="1"/>
    <w:p w14:paraId="2B96C4DB" w14:textId="77777777" w:rsidR="004B7969" w:rsidRPr="00B2226A" w:rsidRDefault="004B7969" w:rsidP="004B7969">
      <w:pPr>
        <w:pStyle w:val="NoSpacing"/>
        <w:rPr>
          <w:rFonts w:ascii="Arial" w:hAnsi="Arial" w:cs="Arial"/>
          <w:sz w:val="24"/>
          <w:szCs w:val="24"/>
          <w:lang w:val="en-CA"/>
        </w:rPr>
      </w:pPr>
    </w:p>
    <w:p w14:paraId="520AD236" w14:textId="43A12186" w:rsidR="004B7969" w:rsidRPr="00B2226A" w:rsidRDefault="004B7969" w:rsidP="004B7969">
      <w:pPr>
        <w:pStyle w:val="NoSpacing"/>
        <w:rPr>
          <w:rFonts w:ascii="Arial" w:hAnsi="Arial" w:cs="Arial"/>
          <w:color w:val="FF0000"/>
          <w:sz w:val="24"/>
          <w:szCs w:val="24"/>
          <w:lang w:val="en-CA"/>
        </w:rPr>
      </w:pPr>
      <w:r w:rsidRPr="00B2226A">
        <w:rPr>
          <w:rFonts w:ascii="Arial" w:hAnsi="Arial" w:cs="Arial"/>
          <w:sz w:val="24"/>
          <w:szCs w:val="24"/>
          <w:lang w:val="en-CA"/>
        </w:rPr>
        <w:t xml:space="preserve">From 1997 to 2015, an External Advisory Committee on Senior Level Retention and Compensation provided independent, expert advice to the government, through the President of the Treasury Board, on total compensation of executives and Governor in Council appointees. The committee considered the context and nature of executives' work, and the composition and size of executive groups. It also considered compensation principles and strategies, salaries, performance pay, leave and other benefits, and other aspects of human resources management in establishing total compensation levels for executives. The Association of Professional Executives of </w:t>
      </w:r>
      <w:r w:rsidR="00DE0673">
        <w:rPr>
          <w:rFonts w:ascii="Arial" w:hAnsi="Arial" w:cs="Arial"/>
          <w:sz w:val="24"/>
          <w:szCs w:val="24"/>
          <w:lang w:val="en-CA"/>
        </w:rPr>
        <w:t xml:space="preserve">the Public Service of </w:t>
      </w:r>
      <w:r w:rsidRPr="00B2226A">
        <w:rPr>
          <w:rFonts w:ascii="Arial" w:hAnsi="Arial" w:cs="Arial"/>
          <w:sz w:val="24"/>
          <w:szCs w:val="24"/>
          <w:lang w:val="en-CA"/>
        </w:rPr>
        <w:t>Canada (APEX) is of the opinion that since 2015, th</w:t>
      </w:r>
      <w:r w:rsidR="00EB7371">
        <w:rPr>
          <w:rFonts w:ascii="Arial" w:hAnsi="Arial" w:cs="Arial"/>
          <w:sz w:val="24"/>
          <w:szCs w:val="24"/>
          <w:lang w:val="en-CA"/>
        </w:rPr>
        <w:t>is</w:t>
      </w:r>
      <w:r w:rsidRPr="00B2226A">
        <w:rPr>
          <w:rFonts w:ascii="Arial" w:hAnsi="Arial" w:cs="Arial"/>
          <w:sz w:val="24"/>
          <w:szCs w:val="24"/>
          <w:lang w:val="en-CA"/>
        </w:rPr>
        <w:t xml:space="preserve"> specific </w:t>
      </w:r>
      <w:r w:rsidRPr="00B2226A">
        <w:rPr>
          <w:rFonts w:ascii="Arial" w:hAnsi="Arial" w:cs="Arial"/>
          <w:sz w:val="24"/>
          <w:szCs w:val="24"/>
          <w:lang w:val="en-CA"/>
        </w:rPr>
        <w:lastRenderedPageBreak/>
        <w:t>knowledge, strategies, and insight into the terms and conditions of employment for executives has been absent in decisions taken regarding executive compensation. In doing so, the true value of the executive cadre to Canada and Canadians has not been recognized. It is essential that an External Advisory Committee be reconstituted in the spring of 2023 in acknowledgment of the Executive’s Group important role in supporting and providing advice to government and delivering highly valued services to Canadians.</w:t>
      </w:r>
    </w:p>
    <w:p w14:paraId="042F347E" w14:textId="77777777" w:rsidR="004B7969" w:rsidRPr="00B2226A" w:rsidRDefault="004B7969" w:rsidP="004B7969">
      <w:pPr>
        <w:pStyle w:val="NoSpacing"/>
        <w:rPr>
          <w:rFonts w:ascii="Arial" w:hAnsi="Arial" w:cs="Arial"/>
          <w:sz w:val="24"/>
          <w:szCs w:val="24"/>
          <w:lang w:val="en-CA"/>
        </w:rPr>
      </w:pPr>
    </w:p>
    <w:p w14:paraId="3841FC2F" w14:textId="77777777" w:rsidR="000453B5" w:rsidRPr="00B2226A" w:rsidRDefault="000453B5">
      <w:pPr>
        <w:rPr>
          <w:rFonts w:ascii="Arial" w:eastAsia="Calibri" w:hAnsi="Arial" w:cs="Arial"/>
          <w:b/>
          <w:bCs/>
          <w:sz w:val="28"/>
          <w:szCs w:val="28"/>
          <w:lang w:val="en-CA" w:eastAsia="en-US"/>
        </w:rPr>
      </w:pPr>
      <w:bookmarkStart w:id="2" w:name="_Hlk126649249"/>
      <w:r w:rsidRPr="00B2226A">
        <w:rPr>
          <w:rFonts w:ascii="Arial" w:hAnsi="Arial" w:cs="Arial"/>
          <w:b/>
          <w:bCs/>
          <w:sz w:val="28"/>
          <w:szCs w:val="28"/>
          <w:lang w:val="en-CA"/>
        </w:rPr>
        <w:br w:type="page"/>
      </w:r>
    </w:p>
    <w:p w14:paraId="3E1F9E06" w14:textId="17DA9991" w:rsidR="004B7969" w:rsidRPr="00B2226A" w:rsidRDefault="004B7969" w:rsidP="00F41F01">
      <w:pPr>
        <w:pStyle w:val="Heading1"/>
        <w:rPr>
          <w:lang w:val="en-CA"/>
        </w:rPr>
      </w:pPr>
      <w:bookmarkStart w:id="3" w:name="_Toc127177417"/>
      <w:r w:rsidRPr="00B2226A">
        <w:rPr>
          <w:lang w:val="en-CA"/>
        </w:rPr>
        <w:lastRenderedPageBreak/>
        <w:t>Terms of Reference – External Advisory Committee on Executive Compensation</w:t>
      </w:r>
      <w:bookmarkEnd w:id="3"/>
    </w:p>
    <w:bookmarkEnd w:id="2"/>
    <w:p w14:paraId="5DFE184E" w14:textId="77777777" w:rsidR="004B7969" w:rsidRPr="00B2226A" w:rsidRDefault="004B7969" w:rsidP="004B7969">
      <w:pPr>
        <w:pStyle w:val="NoSpacing"/>
        <w:rPr>
          <w:rFonts w:ascii="Arial" w:hAnsi="Arial" w:cs="Arial"/>
          <w:sz w:val="24"/>
          <w:szCs w:val="24"/>
          <w:lang w:val="en-CA"/>
        </w:rPr>
      </w:pPr>
    </w:p>
    <w:p w14:paraId="77F75727" w14:textId="77777777" w:rsidR="004B7969" w:rsidRPr="00B2226A" w:rsidRDefault="004B7969" w:rsidP="00F41F01">
      <w:pPr>
        <w:pStyle w:val="Heading2"/>
        <w:rPr>
          <w:b w:val="0"/>
          <w:lang w:val="en-CA"/>
        </w:rPr>
      </w:pPr>
      <w:bookmarkStart w:id="4" w:name="_Toc127177418"/>
      <w:r w:rsidRPr="00B2226A">
        <w:rPr>
          <w:lang w:val="en-CA"/>
        </w:rPr>
        <w:t>Purpose</w:t>
      </w:r>
      <w:bookmarkEnd w:id="4"/>
    </w:p>
    <w:p w14:paraId="66D765CE" w14:textId="77777777" w:rsidR="004B7969" w:rsidRPr="00B2226A" w:rsidRDefault="004B7969" w:rsidP="004B7969">
      <w:pPr>
        <w:pStyle w:val="NoSpacing"/>
        <w:rPr>
          <w:rFonts w:ascii="Arial" w:hAnsi="Arial" w:cs="Arial"/>
          <w:sz w:val="24"/>
          <w:szCs w:val="24"/>
          <w:lang w:val="en-CA"/>
        </w:rPr>
      </w:pPr>
    </w:p>
    <w:p w14:paraId="70698CBD" w14:textId="77777777" w:rsidR="004B7969" w:rsidRPr="00B2226A" w:rsidRDefault="004B7969" w:rsidP="004B7969">
      <w:pPr>
        <w:pStyle w:val="NoSpacing"/>
        <w:rPr>
          <w:rFonts w:ascii="Arial" w:hAnsi="Arial" w:cs="Arial"/>
          <w:sz w:val="24"/>
          <w:szCs w:val="24"/>
          <w:lang w:val="en-CA"/>
        </w:rPr>
      </w:pPr>
      <w:r w:rsidRPr="00B2226A">
        <w:rPr>
          <w:rFonts w:ascii="Arial" w:hAnsi="Arial" w:cs="Arial"/>
          <w:sz w:val="24"/>
          <w:szCs w:val="24"/>
          <w:lang w:val="en-CA"/>
        </w:rPr>
        <w:t xml:space="preserve">Taking into consideration the value of the Executive Group to the Government of Canada and Canadians, the context and nature of their work, the composition of the Group and other aspects of human resources management in establishing total compensation levels, the External Advisory Committee on Executive Total Compensation (the Committee) is to provide independent advice and recommendations to the President of the Treasury Board to strengthen the executive cadre and ensure quality leadership and delivery of programs and services to Canadians. </w:t>
      </w:r>
    </w:p>
    <w:p w14:paraId="1C4926FF" w14:textId="77777777" w:rsidR="004B7969" w:rsidRPr="00B2226A" w:rsidRDefault="004B7969" w:rsidP="004B7969">
      <w:pPr>
        <w:pStyle w:val="NoSpacing"/>
        <w:rPr>
          <w:rFonts w:ascii="Arial" w:hAnsi="Arial" w:cs="Arial"/>
          <w:sz w:val="24"/>
          <w:szCs w:val="24"/>
          <w:lang w:val="en-CA"/>
        </w:rPr>
      </w:pPr>
    </w:p>
    <w:p w14:paraId="3D69D3B0" w14:textId="77777777" w:rsidR="004B7969" w:rsidRPr="00B2226A" w:rsidRDefault="004B7969" w:rsidP="00F41F01">
      <w:pPr>
        <w:pStyle w:val="Heading2"/>
        <w:rPr>
          <w:lang w:val="en-CA"/>
        </w:rPr>
      </w:pPr>
      <w:bookmarkStart w:id="5" w:name="_Toc127177419"/>
      <w:r w:rsidRPr="00B2226A">
        <w:rPr>
          <w:lang w:val="en-CA"/>
        </w:rPr>
        <w:t>Mandate</w:t>
      </w:r>
      <w:bookmarkEnd w:id="5"/>
    </w:p>
    <w:p w14:paraId="1FEAD29E" w14:textId="77777777" w:rsidR="004B7969" w:rsidRPr="00B2226A" w:rsidRDefault="004B7969" w:rsidP="004B7969">
      <w:pPr>
        <w:pStyle w:val="NoSpacing"/>
        <w:rPr>
          <w:rFonts w:ascii="Arial" w:hAnsi="Arial" w:cs="Arial"/>
          <w:sz w:val="24"/>
          <w:szCs w:val="24"/>
          <w:lang w:val="en-CA"/>
        </w:rPr>
      </w:pPr>
    </w:p>
    <w:p w14:paraId="0E9EBC69" w14:textId="17DDBABD" w:rsidR="004B7969" w:rsidRPr="00B2226A" w:rsidRDefault="004B7969" w:rsidP="004B7969">
      <w:pPr>
        <w:pStyle w:val="NoSpacing"/>
        <w:rPr>
          <w:rFonts w:ascii="Arial" w:hAnsi="Arial" w:cs="Arial"/>
          <w:sz w:val="24"/>
          <w:szCs w:val="24"/>
          <w:lang w:val="en-CA"/>
        </w:rPr>
      </w:pPr>
      <w:r w:rsidRPr="00B2226A">
        <w:rPr>
          <w:rFonts w:ascii="Arial" w:hAnsi="Arial" w:cs="Arial"/>
          <w:sz w:val="24"/>
          <w:szCs w:val="24"/>
          <w:lang w:val="en-CA"/>
        </w:rPr>
        <w:t xml:space="preserve">The mandate of the Committee is to advise the President of the Treasury Board in the review, modification, and implementation of the Treasury Board Secretariat (TBS) compensation framework and strategy and propose fundamental principles and guidelines to </w:t>
      </w:r>
      <w:bookmarkStart w:id="6" w:name="_Hlk127170113"/>
      <w:r w:rsidRPr="00B2226A">
        <w:rPr>
          <w:rFonts w:ascii="Arial" w:hAnsi="Arial" w:cs="Arial"/>
          <w:sz w:val="24"/>
          <w:szCs w:val="24"/>
          <w:lang w:val="en-CA"/>
        </w:rPr>
        <w:t xml:space="preserve">guide the Government on decisions regarding executive compensation, policies and benefits and terms and conditions of employment. </w:t>
      </w:r>
      <w:bookmarkEnd w:id="6"/>
      <w:r w:rsidRPr="00B2226A">
        <w:rPr>
          <w:rFonts w:ascii="Arial" w:hAnsi="Arial" w:cs="Arial"/>
          <w:sz w:val="24"/>
          <w:szCs w:val="24"/>
          <w:lang w:val="en-CA"/>
        </w:rPr>
        <w:t xml:space="preserve">The Committee is to provide to the President of </w:t>
      </w:r>
      <w:r w:rsidR="00EB7371">
        <w:rPr>
          <w:rFonts w:ascii="Arial" w:hAnsi="Arial" w:cs="Arial"/>
          <w:sz w:val="24"/>
          <w:szCs w:val="24"/>
          <w:lang w:val="en-CA"/>
        </w:rPr>
        <w:t xml:space="preserve">the </w:t>
      </w:r>
      <w:r w:rsidRPr="00B2226A">
        <w:rPr>
          <w:rFonts w:ascii="Arial" w:hAnsi="Arial" w:cs="Arial"/>
          <w:sz w:val="24"/>
          <w:szCs w:val="24"/>
          <w:lang w:val="en-CA"/>
        </w:rPr>
        <w:t xml:space="preserve">Treasury Board annual total compensation recommendations that are based on these principles and guidelines </w:t>
      </w:r>
      <w:proofErr w:type="gramStart"/>
      <w:r w:rsidRPr="00B2226A">
        <w:rPr>
          <w:rFonts w:ascii="Arial" w:hAnsi="Arial" w:cs="Arial"/>
          <w:sz w:val="24"/>
          <w:szCs w:val="24"/>
          <w:lang w:val="en-CA"/>
        </w:rPr>
        <w:t>in order to</w:t>
      </w:r>
      <w:proofErr w:type="gramEnd"/>
      <w:r w:rsidRPr="00B2226A">
        <w:rPr>
          <w:rFonts w:ascii="Arial" w:hAnsi="Arial" w:cs="Arial"/>
          <w:sz w:val="24"/>
          <w:szCs w:val="24"/>
          <w:lang w:val="en-CA"/>
        </w:rPr>
        <w:t xml:space="preserve"> strengthen the executive cadre, ensure a constant attraction to become an executive by top talent, and provide high quality services and programs to Canadians. </w:t>
      </w:r>
    </w:p>
    <w:p w14:paraId="7AAEC6C8" w14:textId="77777777" w:rsidR="004B7969" w:rsidRPr="00B2226A" w:rsidRDefault="004B7969" w:rsidP="004B7969">
      <w:pPr>
        <w:pStyle w:val="NoSpacing"/>
        <w:rPr>
          <w:rFonts w:ascii="Arial" w:hAnsi="Arial" w:cs="Arial"/>
          <w:sz w:val="24"/>
          <w:szCs w:val="24"/>
          <w:lang w:val="en-CA"/>
        </w:rPr>
      </w:pPr>
    </w:p>
    <w:p w14:paraId="1E0CE12B" w14:textId="77777777" w:rsidR="004B7969" w:rsidRPr="00B2226A" w:rsidRDefault="004B7969" w:rsidP="004B7969">
      <w:pPr>
        <w:pStyle w:val="NoSpacing"/>
        <w:rPr>
          <w:rFonts w:ascii="Arial" w:hAnsi="Arial" w:cs="Arial"/>
          <w:b/>
          <w:bCs/>
          <w:sz w:val="26"/>
          <w:szCs w:val="26"/>
          <w:lang w:val="en-CA"/>
        </w:rPr>
      </w:pPr>
    </w:p>
    <w:p w14:paraId="6F26E17F" w14:textId="77777777" w:rsidR="004B7969" w:rsidRPr="00B2226A" w:rsidRDefault="004B7969" w:rsidP="004B7969">
      <w:pPr>
        <w:pStyle w:val="NoSpacing"/>
        <w:rPr>
          <w:rFonts w:ascii="Arial" w:hAnsi="Arial" w:cs="Arial"/>
          <w:b/>
          <w:bCs/>
          <w:sz w:val="26"/>
          <w:szCs w:val="26"/>
          <w:lang w:val="en-CA"/>
        </w:rPr>
      </w:pPr>
    </w:p>
    <w:p w14:paraId="41A5ABCA" w14:textId="77777777" w:rsidR="004B7969" w:rsidRPr="00B2226A" w:rsidRDefault="004B7969" w:rsidP="00F41F01">
      <w:pPr>
        <w:pStyle w:val="Heading2"/>
        <w:rPr>
          <w:lang w:val="en-CA"/>
        </w:rPr>
      </w:pPr>
      <w:bookmarkStart w:id="7" w:name="_Toc127177420"/>
      <w:r w:rsidRPr="00B2226A">
        <w:rPr>
          <w:lang w:val="en-CA"/>
        </w:rPr>
        <w:lastRenderedPageBreak/>
        <w:t>Duties</w:t>
      </w:r>
      <w:bookmarkEnd w:id="7"/>
    </w:p>
    <w:p w14:paraId="0BBC3888" w14:textId="77777777" w:rsidR="004B7969" w:rsidRPr="00B2226A" w:rsidRDefault="004B7969" w:rsidP="000453B5">
      <w:pPr>
        <w:pStyle w:val="NoSpacing"/>
        <w:keepNext/>
        <w:keepLines/>
        <w:rPr>
          <w:rFonts w:ascii="Arial" w:hAnsi="Arial" w:cs="Arial"/>
          <w:b/>
          <w:bCs/>
          <w:sz w:val="26"/>
          <w:szCs w:val="26"/>
          <w:lang w:val="en-CA"/>
        </w:rPr>
      </w:pPr>
    </w:p>
    <w:p w14:paraId="4ED16C35" w14:textId="77777777" w:rsidR="004B7969" w:rsidRPr="00B2226A" w:rsidRDefault="004B7969" w:rsidP="000453B5">
      <w:pPr>
        <w:pStyle w:val="NoSpacing"/>
        <w:keepNext/>
        <w:keepLines/>
        <w:rPr>
          <w:rFonts w:ascii="Arial" w:hAnsi="Arial" w:cs="Arial"/>
          <w:sz w:val="24"/>
          <w:szCs w:val="24"/>
          <w:lang w:val="en-CA"/>
        </w:rPr>
      </w:pPr>
      <w:r w:rsidRPr="00B2226A">
        <w:rPr>
          <w:rFonts w:ascii="Arial" w:hAnsi="Arial" w:cs="Arial"/>
          <w:sz w:val="24"/>
          <w:szCs w:val="24"/>
          <w:lang w:val="en-CA"/>
        </w:rPr>
        <w:t xml:space="preserve">The Committee is responsible to execute the following:  </w:t>
      </w:r>
    </w:p>
    <w:p w14:paraId="53310CF0" w14:textId="77777777" w:rsidR="004B7969" w:rsidRPr="00B2226A" w:rsidRDefault="004B7969" w:rsidP="000453B5">
      <w:pPr>
        <w:pStyle w:val="NoSpacing"/>
        <w:keepNext/>
        <w:keepLines/>
        <w:rPr>
          <w:rFonts w:ascii="Arial" w:hAnsi="Arial" w:cs="Arial"/>
          <w:b/>
          <w:bCs/>
          <w:sz w:val="26"/>
          <w:szCs w:val="26"/>
          <w:lang w:val="en-CA"/>
        </w:rPr>
      </w:pPr>
    </w:p>
    <w:p w14:paraId="1BCA2B4E" w14:textId="04E9914F" w:rsidR="004B7969" w:rsidRPr="00B2226A" w:rsidRDefault="004B7969" w:rsidP="000453B5">
      <w:pPr>
        <w:pStyle w:val="NoSpacing"/>
        <w:keepNext/>
        <w:keepLines/>
        <w:numPr>
          <w:ilvl w:val="0"/>
          <w:numId w:val="24"/>
        </w:numPr>
        <w:rPr>
          <w:rFonts w:ascii="Arial" w:hAnsi="Arial" w:cs="Arial"/>
          <w:sz w:val="24"/>
          <w:szCs w:val="24"/>
          <w:lang w:val="en-CA"/>
        </w:rPr>
      </w:pPr>
      <w:bookmarkStart w:id="8" w:name="_Hlk127171287"/>
      <w:r w:rsidRPr="00B2226A">
        <w:rPr>
          <w:rFonts w:ascii="Arial" w:hAnsi="Arial" w:cs="Arial"/>
          <w:sz w:val="24"/>
          <w:szCs w:val="24"/>
          <w:lang w:val="en-CA"/>
        </w:rPr>
        <w:t>Reviewing the current TBS total compensation framework applicable to executives and recommending Executive Group specific amendments</w:t>
      </w:r>
      <w:r w:rsidR="00BE5260">
        <w:rPr>
          <w:rFonts w:ascii="Arial" w:hAnsi="Arial" w:cs="Arial"/>
          <w:sz w:val="24"/>
          <w:szCs w:val="24"/>
          <w:lang w:val="en-CA"/>
        </w:rPr>
        <w:t>.</w:t>
      </w:r>
      <w:r w:rsidRPr="00B2226A">
        <w:rPr>
          <w:rFonts w:ascii="Arial" w:hAnsi="Arial" w:cs="Arial"/>
          <w:sz w:val="24"/>
          <w:szCs w:val="24"/>
          <w:lang w:val="en-CA"/>
        </w:rPr>
        <w:t xml:space="preserve"> </w:t>
      </w:r>
    </w:p>
    <w:bookmarkEnd w:id="8"/>
    <w:p w14:paraId="35EC1A31" w14:textId="1103955E" w:rsidR="004B7969" w:rsidRPr="00B2226A" w:rsidRDefault="004B7969" w:rsidP="004B7969">
      <w:pPr>
        <w:pStyle w:val="NoSpacing"/>
        <w:numPr>
          <w:ilvl w:val="0"/>
          <w:numId w:val="24"/>
        </w:numPr>
        <w:rPr>
          <w:rFonts w:ascii="Arial" w:hAnsi="Arial" w:cs="Arial"/>
          <w:sz w:val="24"/>
          <w:szCs w:val="24"/>
          <w:lang w:val="en-CA"/>
        </w:rPr>
      </w:pPr>
      <w:r w:rsidRPr="00B2226A">
        <w:rPr>
          <w:rFonts w:ascii="Arial" w:hAnsi="Arial" w:cs="Arial"/>
          <w:sz w:val="24"/>
          <w:szCs w:val="24"/>
          <w:lang w:val="en-CA"/>
        </w:rPr>
        <w:t>Determining fair and appropriate internal feeder groups and external comparators to be used in ensuring a competitive total compensation package for executives</w:t>
      </w:r>
      <w:r w:rsidR="00BE5260">
        <w:rPr>
          <w:rFonts w:ascii="Arial" w:hAnsi="Arial" w:cs="Arial"/>
          <w:sz w:val="24"/>
          <w:szCs w:val="24"/>
          <w:lang w:val="en-CA"/>
        </w:rPr>
        <w:t>.</w:t>
      </w:r>
    </w:p>
    <w:p w14:paraId="3DB58EE3" w14:textId="1CDF6743" w:rsidR="004B7969" w:rsidRPr="00B2226A" w:rsidRDefault="004B7969" w:rsidP="004B7969">
      <w:pPr>
        <w:pStyle w:val="NoSpacing"/>
        <w:numPr>
          <w:ilvl w:val="0"/>
          <w:numId w:val="24"/>
        </w:numPr>
        <w:rPr>
          <w:rFonts w:ascii="Arial" w:hAnsi="Arial" w:cs="Arial"/>
          <w:sz w:val="24"/>
          <w:szCs w:val="24"/>
          <w:lang w:val="en-CA"/>
        </w:rPr>
      </w:pPr>
      <w:r w:rsidRPr="00B2226A">
        <w:rPr>
          <w:rFonts w:ascii="Arial" w:hAnsi="Arial" w:cs="Arial"/>
          <w:sz w:val="24"/>
          <w:szCs w:val="24"/>
          <w:lang w:val="en-CA"/>
        </w:rPr>
        <w:t>Establishing means by which to differentiate total compensation and benefits between the executive and non-executive groups</w:t>
      </w:r>
      <w:r w:rsidR="00BE5260">
        <w:rPr>
          <w:rFonts w:ascii="Arial" w:hAnsi="Arial" w:cs="Arial"/>
          <w:sz w:val="24"/>
          <w:szCs w:val="24"/>
          <w:lang w:val="en-CA"/>
        </w:rPr>
        <w:t>.</w:t>
      </w:r>
    </w:p>
    <w:p w14:paraId="79376012" w14:textId="45CD2D26" w:rsidR="004B7969" w:rsidRPr="00B2226A" w:rsidRDefault="004B7969" w:rsidP="004B7969">
      <w:pPr>
        <w:pStyle w:val="NoSpacing"/>
        <w:numPr>
          <w:ilvl w:val="0"/>
          <w:numId w:val="24"/>
        </w:numPr>
        <w:rPr>
          <w:rFonts w:ascii="Arial" w:hAnsi="Arial" w:cs="Arial"/>
          <w:sz w:val="24"/>
          <w:szCs w:val="24"/>
          <w:lang w:val="en-CA"/>
        </w:rPr>
      </w:pPr>
      <w:r w:rsidRPr="00B2226A">
        <w:rPr>
          <w:rFonts w:ascii="Arial" w:hAnsi="Arial" w:cs="Arial"/>
          <w:sz w:val="24"/>
          <w:szCs w:val="24"/>
          <w:lang w:val="en-CA"/>
        </w:rPr>
        <w:t>Annually reviewing and providing recommendations to government on compensation and terms and conditions of employment for executives</w:t>
      </w:r>
      <w:r w:rsidR="00BE5260">
        <w:rPr>
          <w:rFonts w:ascii="Arial" w:hAnsi="Arial" w:cs="Arial"/>
          <w:sz w:val="24"/>
          <w:szCs w:val="24"/>
          <w:lang w:val="en-CA"/>
        </w:rPr>
        <w:t>.</w:t>
      </w:r>
    </w:p>
    <w:p w14:paraId="712AC5A2" w14:textId="2D93179E" w:rsidR="004B7969" w:rsidRPr="00B2226A" w:rsidRDefault="004B7969" w:rsidP="004B7969">
      <w:pPr>
        <w:pStyle w:val="NoSpacing"/>
        <w:numPr>
          <w:ilvl w:val="0"/>
          <w:numId w:val="24"/>
        </w:numPr>
        <w:rPr>
          <w:rFonts w:ascii="Arial" w:hAnsi="Arial" w:cs="Arial"/>
          <w:sz w:val="24"/>
          <w:szCs w:val="24"/>
          <w:lang w:val="en-CA"/>
        </w:rPr>
      </w:pPr>
      <w:r w:rsidRPr="00B2226A">
        <w:rPr>
          <w:rFonts w:ascii="Arial" w:hAnsi="Arial" w:cs="Arial"/>
          <w:sz w:val="24"/>
          <w:szCs w:val="24"/>
          <w:lang w:val="en-CA"/>
        </w:rPr>
        <w:t xml:space="preserve">Periodically, reviewing the executive policies, </w:t>
      </w:r>
      <w:proofErr w:type="gramStart"/>
      <w:r w:rsidRPr="00B2226A">
        <w:rPr>
          <w:rFonts w:ascii="Arial" w:hAnsi="Arial" w:cs="Arial"/>
          <w:sz w:val="24"/>
          <w:szCs w:val="24"/>
          <w:lang w:val="en-CA"/>
        </w:rPr>
        <w:t>levels</w:t>
      </w:r>
      <w:proofErr w:type="gramEnd"/>
      <w:r w:rsidRPr="00B2226A">
        <w:rPr>
          <w:rFonts w:ascii="Arial" w:hAnsi="Arial" w:cs="Arial"/>
          <w:sz w:val="24"/>
          <w:szCs w:val="24"/>
          <w:lang w:val="en-CA"/>
        </w:rPr>
        <w:t xml:space="preserve"> and types of benefits, including other entitlements, that may be newly granted or amended</w:t>
      </w:r>
      <w:r w:rsidR="00BE5260">
        <w:rPr>
          <w:rFonts w:ascii="Arial" w:hAnsi="Arial" w:cs="Arial"/>
          <w:sz w:val="24"/>
          <w:szCs w:val="24"/>
          <w:lang w:val="en-CA"/>
        </w:rPr>
        <w:t>.</w:t>
      </w:r>
    </w:p>
    <w:p w14:paraId="10ECDA61" w14:textId="6A8CEA79" w:rsidR="004B7969" w:rsidRPr="00B2226A" w:rsidRDefault="004B7969" w:rsidP="004B7969">
      <w:pPr>
        <w:pStyle w:val="NoSpacing"/>
        <w:numPr>
          <w:ilvl w:val="0"/>
          <w:numId w:val="24"/>
        </w:numPr>
        <w:rPr>
          <w:rFonts w:ascii="Arial" w:hAnsi="Arial" w:cs="Arial"/>
          <w:sz w:val="24"/>
          <w:szCs w:val="24"/>
          <w:lang w:val="en-CA"/>
        </w:rPr>
      </w:pPr>
      <w:r w:rsidRPr="00B2226A">
        <w:rPr>
          <w:rFonts w:ascii="Arial" w:hAnsi="Arial" w:cs="Arial"/>
          <w:sz w:val="24"/>
          <w:szCs w:val="24"/>
          <w:lang w:val="en-CA"/>
        </w:rPr>
        <w:t>Annually measuring and reviewing the effectiveness of the executive total compensation package as a means of ensuring appropriate and constant attraction and retention of top talent to the Executive Group</w:t>
      </w:r>
      <w:r w:rsidR="00BE5260">
        <w:rPr>
          <w:rFonts w:ascii="Arial" w:hAnsi="Arial" w:cs="Arial"/>
          <w:sz w:val="24"/>
          <w:szCs w:val="24"/>
          <w:lang w:val="en-CA"/>
        </w:rPr>
        <w:t>.</w:t>
      </w:r>
      <w:r w:rsidRPr="00B2226A">
        <w:rPr>
          <w:rFonts w:ascii="Arial" w:hAnsi="Arial" w:cs="Arial"/>
          <w:sz w:val="24"/>
          <w:szCs w:val="24"/>
          <w:lang w:val="en-CA"/>
        </w:rPr>
        <w:t xml:space="preserve"> </w:t>
      </w:r>
    </w:p>
    <w:p w14:paraId="71D5C1D4" w14:textId="4A074243" w:rsidR="005D0891" w:rsidRPr="00B2226A" w:rsidRDefault="005D0891" w:rsidP="005D0891">
      <w:pPr>
        <w:pStyle w:val="NoSpacing"/>
        <w:numPr>
          <w:ilvl w:val="0"/>
          <w:numId w:val="24"/>
        </w:numPr>
        <w:rPr>
          <w:rFonts w:ascii="Arial" w:hAnsi="Arial" w:cs="Arial"/>
          <w:sz w:val="24"/>
          <w:szCs w:val="24"/>
          <w:lang w:val="en-CA"/>
        </w:rPr>
      </w:pPr>
      <w:r w:rsidRPr="00B2226A">
        <w:rPr>
          <w:rFonts w:ascii="Arial" w:hAnsi="Arial" w:cs="Arial"/>
          <w:sz w:val="24"/>
          <w:szCs w:val="24"/>
          <w:lang w:val="en-CA"/>
        </w:rPr>
        <w:t xml:space="preserve">Annually publishing publicly on the TBS </w:t>
      </w:r>
      <w:proofErr w:type="gramStart"/>
      <w:r w:rsidRPr="00B2226A">
        <w:rPr>
          <w:rFonts w:ascii="Arial" w:hAnsi="Arial" w:cs="Arial"/>
          <w:sz w:val="24"/>
          <w:szCs w:val="24"/>
          <w:lang w:val="en-CA"/>
        </w:rPr>
        <w:t>website</w:t>
      </w:r>
      <w:proofErr w:type="gramEnd"/>
      <w:r w:rsidRPr="00B2226A">
        <w:rPr>
          <w:rFonts w:ascii="Arial" w:hAnsi="Arial" w:cs="Arial"/>
          <w:sz w:val="24"/>
          <w:szCs w:val="24"/>
          <w:lang w:val="en-CA"/>
        </w:rPr>
        <w:t xml:space="preserve"> the recommendations made to </w:t>
      </w:r>
      <w:r w:rsidR="00C07C26">
        <w:rPr>
          <w:rFonts w:ascii="Arial" w:hAnsi="Arial" w:cs="Arial"/>
          <w:sz w:val="24"/>
          <w:szCs w:val="24"/>
          <w:lang w:val="en-CA"/>
        </w:rPr>
        <w:t xml:space="preserve">the </w:t>
      </w:r>
      <w:r w:rsidRPr="00B2226A">
        <w:rPr>
          <w:rFonts w:ascii="Arial" w:hAnsi="Arial" w:cs="Arial"/>
          <w:sz w:val="24"/>
          <w:szCs w:val="24"/>
          <w:lang w:val="en-CA"/>
        </w:rPr>
        <w:t xml:space="preserve">President of </w:t>
      </w:r>
      <w:r w:rsidR="00C07C26">
        <w:rPr>
          <w:rFonts w:ascii="Arial" w:hAnsi="Arial" w:cs="Arial"/>
          <w:sz w:val="24"/>
          <w:szCs w:val="24"/>
          <w:lang w:val="en-CA"/>
        </w:rPr>
        <w:t xml:space="preserve">the </w:t>
      </w:r>
      <w:r w:rsidRPr="00B2226A">
        <w:rPr>
          <w:rFonts w:ascii="Arial" w:hAnsi="Arial" w:cs="Arial"/>
          <w:sz w:val="24"/>
          <w:szCs w:val="24"/>
          <w:lang w:val="en-CA"/>
        </w:rPr>
        <w:t>Treasury Board, as well as the rationales</w:t>
      </w:r>
      <w:r>
        <w:rPr>
          <w:rFonts w:ascii="Arial" w:hAnsi="Arial" w:cs="Arial"/>
          <w:sz w:val="24"/>
          <w:szCs w:val="24"/>
          <w:lang w:val="en-CA"/>
        </w:rPr>
        <w:t>.</w:t>
      </w:r>
    </w:p>
    <w:p w14:paraId="69827EE5" w14:textId="56C0C505" w:rsidR="004B7969" w:rsidRPr="00B2226A" w:rsidRDefault="004B7969" w:rsidP="004B7969">
      <w:pPr>
        <w:pStyle w:val="NoSpacing"/>
        <w:numPr>
          <w:ilvl w:val="0"/>
          <w:numId w:val="24"/>
        </w:numPr>
        <w:rPr>
          <w:rFonts w:ascii="Arial" w:hAnsi="Arial" w:cs="Arial"/>
          <w:sz w:val="24"/>
          <w:szCs w:val="24"/>
          <w:lang w:val="en-CA"/>
        </w:rPr>
      </w:pPr>
      <w:r w:rsidRPr="00B2226A">
        <w:rPr>
          <w:rFonts w:ascii="Arial" w:hAnsi="Arial" w:cs="Arial"/>
          <w:sz w:val="24"/>
          <w:szCs w:val="24"/>
          <w:lang w:val="en-CA"/>
        </w:rPr>
        <w:t>Periodically reviewing the methodology used by the Committee and by TBS to guide and inform recommendations to the President of the Treasury Board on total compensation for executives</w:t>
      </w:r>
      <w:r w:rsidR="00BE5260">
        <w:rPr>
          <w:rFonts w:ascii="Arial" w:hAnsi="Arial" w:cs="Arial"/>
          <w:sz w:val="24"/>
          <w:szCs w:val="24"/>
          <w:lang w:val="en-CA"/>
        </w:rPr>
        <w:t>.</w:t>
      </w:r>
    </w:p>
    <w:p w14:paraId="4E4B1838" w14:textId="369F8381" w:rsidR="004B7969" w:rsidRPr="00B2226A" w:rsidRDefault="004B7969" w:rsidP="004B7969">
      <w:pPr>
        <w:pStyle w:val="NoSpacing"/>
        <w:numPr>
          <w:ilvl w:val="0"/>
          <w:numId w:val="24"/>
        </w:numPr>
        <w:rPr>
          <w:rFonts w:ascii="Arial" w:hAnsi="Arial" w:cs="Arial"/>
          <w:sz w:val="24"/>
          <w:szCs w:val="24"/>
          <w:lang w:val="en-CA"/>
        </w:rPr>
      </w:pPr>
      <w:r w:rsidRPr="00B2226A">
        <w:rPr>
          <w:rFonts w:ascii="Arial" w:hAnsi="Arial" w:cs="Arial"/>
          <w:sz w:val="24"/>
          <w:szCs w:val="24"/>
          <w:lang w:val="en-CA"/>
        </w:rPr>
        <w:t>Reviewing and monitoring exposure to risks associated with the compensation regime and policies and identifying mitigation</w:t>
      </w:r>
      <w:r w:rsidR="00BE5260">
        <w:rPr>
          <w:rFonts w:ascii="Arial" w:hAnsi="Arial" w:cs="Arial"/>
          <w:sz w:val="24"/>
          <w:szCs w:val="24"/>
          <w:lang w:val="en-CA"/>
        </w:rPr>
        <w:t>.</w:t>
      </w:r>
    </w:p>
    <w:p w14:paraId="245F367D" w14:textId="3766B710" w:rsidR="005D0891" w:rsidRDefault="005D0891" w:rsidP="004B7969">
      <w:pPr>
        <w:pStyle w:val="NoSpacing"/>
        <w:numPr>
          <w:ilvl w:val="0"/>
          <w:numId w:val="24"/>
        </w:numPr>
        <w:rPr>
          <w:rFonts w:ascii="Arial" w:hAnsi="Arial" w:cs="Arial"/>
          <w:sz w:val="24"/>
          <w:szCs w:val="24"/>
          <w:lang w:val="en-CA"/>
        </w:rPr>
      </w:pPr>
      <w:r w:rsidRPr="005D0891">
        <w:rPr>
          <w:rFonts w:ascii="Arial" w:hAnsi="Arial" w:cs="Arial"/>
          <w:sz w:val="24"/>
          <w:szCs w:val="24"/>
          <w:lang w:val="en-CA"/>
        </w:rPr>
        <w:t xml:space="preserve">Offer </w:t>
      </w:r>
      <w:r>
        <w:rPr>
          <w:rFonts w:ascii="Arial" w:hAnsi="Arial" w:cs="Arial"/>
          <w:sz w:val="24"/>
          <w:szCs w:val="24"/>
          <w:lang w:val="en-CA"/>
        </w:rPr>
        <w:t>APEX</w:t>
      </w:r>
      <w:r w:rsidRPr="005D0891">
        <w:rPr>
          <w:rFonts w:ascii="Arial" w:hAnsi="Arial" w:cs="Arial"/>
          <w:sz w:val="24"/>
          <w:szCs w:val="24"/>
          <w:lang w:val="en-CA"/>
        </w:rPr>
        <w:t xml:space="preserve"> the opportunity to provide advice and pertinent information on behalf of the executive group to the </w:t>
      </w:r>
      <w:r>
        <w:rPr>
          <w:rFonts w:ascii="Arial" w:hAnsi="Arial" w:cs="Arial"/>
          <w:sz w:val="24"/>
          <w:szCs w:val="24"/>
          <w:lang w:val="en-CA"/>
        </w:rPr>
        <w:t>C</w:t>
      </w:r>
      <w:r w:rsidRPr="005D0891">
        <w:rPr>
          <w:rFonts w:ascii="Arial" w:hAnsi="Arial" w:cs="Arial"/>
          <w:sz w:val="24"/>
          <w:szCs w:val="24"/>
          <w:lang w:val="en-CA"/>
        </w:rPr>
        <w:t>ommittee prior to the</w:t>
      </w:r>
      <w:r w:rsidR="00B12612">
        <w:rPr>
          <w:rFonts w:ascii="Arial" w:hAnsi="Arial" w:cs="Arial"/>
          <w:sz w:val="24"/>
          <w:szCs w:val="24"/>
          <w:lang w:val="en-CA"/>
        </w:rPr>
        <w:t>ir</w:t>
      </w:r>
      <w:r w:rsidRPr="005D0891">
        <w:rPr>
          <w:rFonts w:ascii="Arial" w:hAnsi="Arial" w:cs="Arial"/>
          <w:sz w:val="24"/>
          <w:szCs w:val="24"/>
          <w:lang w:val="en-CA"/>
        </w:rPr>
        <w:t xml:space="preserve"> presentation of annual recommendations on total compensation to the </w:t>
      </w:r>
      <w:r>
        <w:rPr>
          <w:rFonts w:ascii="Arial" w:hAnsi="Arial" w:cs="Arial"/>
          <w:sz w:val="24"/>
          <w:szCs w:val="24"/>
          <w:lang w:val="en-CA"/>
        </w:rPr>
        <w:t>P</w:t>
      </w:r>
      <w:r w:rsidRPr="005D0891">
        <w:rPr>
          <w:rFonts w:ascii="Arial" w:hAnsi="Arial" w:cs="Arial"/>
          <w:sz w:val="24"/>
          <w:szCs w:val="24"/>
          <w:lang w:val="en-CA"/>
        </w:rPr>
        <w:t xml:space="preserve">resident of </w:t>
      </w:r>
      <w:r w:rsidR="00EB7371">
        <w:rPr>
          <w:rFonts w:ascii="Arial" w:hAnsi="Arial" w:cs="Arial"/>
          <w:sz w:val="24"/>
          <w:szCs w:val="24"/>
          <w:lang w:val="en-CA"/>
        </w:rPr>
        <w:t xml:space="preserve">the </w:t>
      </w:r>
      <w:r>
        <w:rPr>
          <w:rFonts w:ascii="Arial" w:hAnsi="Arial" w:cs="Arial"/>
          <w:sz w:val="24"/>
          <w:szCs w:val="24"/>
          <w:lang w:val="en-CA"/>
        </w:rPr>
        <w:t>T</w:t>
      </w:r>
      <w:r w:rsidRPr="005D0891">
        <w:rPr>
          <w:rFonts w:ascii="Arial" w:hAnsi="Arial" w:cs="Arial"/>
          <w:sz w:val="24"/>
          <w:szCs w:val="24"/>
          <w:lang w:val="en-CA"/>
        </w:rPr>
        <w:t xml:space="preserve">reasury </w:t>
      </w:r>
      <w:r>
        <w:rPr>
          <w:rFonts w:ascii="Arial" w:hAnsi="Arial" w:cs="Arial"/>
          <w:sz w:val="24"/>
          <w:szCs w:val="24"/>
          <w:lang w:val="en-CA"/>
        </w:rPr>
        <w:t>B</w:t>
      </w:r>
      <w:r w:rsidRPr="005D0891">
        <w:rPr>
          <w:rFonts w:ascii="Arial" w:hAnsi="Arial" w:cs="Arial"/>
          <w:sz w:val="24"/>
          <w:szCs w:val="24"/>
          <w:lang w:val="en-CA"/>
        </w:rPr>
        <w:t>oard</w:t>
      </w:r>
      <w:r>
        <w:rPr>
          <w:rFonts w:ascii="Arial" w:hAnsi="Arial" w:cs="Arial"/>
          <w:sz w:val="24"/>
          <w:szCs w:val="24"/>
          <w:lang w:val="en-CA"/>
        </w:rPr>
        <w:t>.</w:t>
      </w:r>
      <w:r w:rsidR="00B12612" w:rsidRPr="00B12612">
        <w:rPr>
          <w:rFonts w:ascii="Arial" w:hAnsi="Arial" w:cs="Arial"/>
          <w:sz w:val="24"/>
          <w:szCs w:val="24"/>
          <w:lang w:val="en-CA"/>
        </w:rPr>
        <w:t xml:space="preserve"> </w:t>
      </w:r>
    </w:p>
    <w:p w14:paraId="697108F8" w14:textId="0F603AA3" w:rsidR="004B7969" w:rsidRPr="00B2226A" w:rsidRDefault="004B7969" w:rsidP="004B7969">
      <w:pPr>
        <w:pStyle w:val="NoSpacing"/>
        <w:numPr>
          <w:ilvl w:val="0"/>
          <w:numId w:val="24"/>
        </w:numPr>
        <w:rPr>
          <w:rFonts w:ascii="Arial" w:hAnsi="Arial" w:cs="Arial"/>
          <w:sz w:val="24"/>
          <w:szCs w:val="24"/>
          <w:lang w:val="en-CA"/>
        </w:rPr>
      </w:pPr>
      <w:r w:rsidRPr="00B2226A">
        <w:rPr>
          <w:rFonts w:ascii="Arial" w:hAnsi="Arial" w:cs="Arial"/>
          <w:sz w:val="24"/>
          <w:szCs w:val="24"/>
          <w:lang w:val="en-CA"/>
        </w:rPr>
        <w:t xml:space="preserve">The </w:t>
      </w:r>
      <w:r w:rsidR="00EB7371">
        <w:rPr>
          <w:rFonts w:ascii="Arial" w:hAnsi="Arial" w:cs="Arial"/>
          <w:sz w:val="24"/>
          <w:szCs w:val="24"/>
          <w:lang w:val="en-CA"/>
        </w:rPr>
        <w:t>C</w:t>
      </w:r>
      <w:r w:rsidRPr="00B2226A">
        <w:rPr>
          <w:rFonts w:ascii="Arial" w:hAnsi="Arial" w:cs="Arial"/>
          <w:sz w:val="24"/>
          <w:szCs w:val="24"/>
          <w:lang w:val="en-CA"/>
        </w:rPr>
        <w:t>ommittee, through the support of TBS, is to retain the services of an independent consulting firm to conduct an annual total compensation data and labour market study for the Executive Group using the internal and external comparators approved by the committee</w:t>
      </w:r>
      <w:r w:rsidR="00BE5260">
        <w:rPr>
          <w:rFonts w:ascii="Arial" w:hAnsi="Arial" w:cs="Arial"/>
          <w:sz w:val="24"/>
          <w:szCs w:val="24"/>
          <w:lang w:val="en-CA"/>
        </w:rPr>
        <w:t>.</w:t>
      </w:r>
    </w:p>
    <w:p w14:paraId="30720ACE" w14:textId="60C5DF50" w:rsidR="004B7969" w:rsidRPr="00B2226A" w:rsidRDefault="004B7969" w:rsidP="004B7969">
      <w:pPr>
        <w:pStyle w:val="ListParagraph"/>
        <w:numPr>
          <w:ilvl w:val="0"/>
          <w:numId w:val="24"/>
        </w:numPr>
        <w:spacing w:after="160" w:line="259" w:lineRule="auto"/>
        <w:rPr>
          <w:rFonts w:ascii="Arial" w:hAnsi="Arial" w:cs="Arial"/>
          <w:sz w:val="24"/>
          <w:szCs w:val="24"/>
        </w:rPr>
      </w:pPr>
      <w:r w:rsidRPr="00B2226A">
        <w:rPr>
          <w:rFonts w:ascii="Arial" w:hAnsi="Arial" w:cs="Arial"/>
          <w:sz w:val="24"/>
          <w:szCs w:val="24"/>
        </w:rPr>
        <w:t xml:space="preserve">The </w:t>
      </w:r>
      <w:r w:rsidR="00EB7371">
        <w:rPr>
          <w:rFonts w:ascii="Arial" w:hAnsi="Arial" w:cs="Arial"/>
          <w:sz w:val="24"/>
          <w:szCs w:val="24"/>
        </w:rPr>
        <w:t>C</w:t>
      </w:r>
      <w:r w:rsidRPr="00B2226A">
        <w:rPr>
          <w:rFonts w:ascii="Arial" w:hAnsi="Arial" w:cs="Arial"/>
          <w:sz w:val="24"/>
          <w:szCs w:val="24"/>
        </w:rPr>
        <w:t xml:space="preserve">ommittee will periodically review the at-risk performance pay regime, with a mandatory review in the first year of the committee’s existence. </w:t>
      </w:r>
    </w:p>
    <w:p w14:paraId="22154C37" w14:textId="77777777" w:rsidR="004B7969" w:rsidRPr="00B2226A" w:rsidRDefault="004B7969" w:rsidP="004B7969">
      <w:pPr>
        <w:pStyle w:val="ListParagraph"/>
        <w:numPr>
          <w:ilvl w:val="0"/>
          <w:numId w:val="24"/>
        </w:numPr>
        <w:spacing w:after="160" w:line="259" w:lineRule="auto"/>
        <w:rPr>
          <w:rFonts w:ascii="Arial" w:hAnsi="Arial" w:cs="Arial"/>
          <w:sz w:val="24"/>
          <w:szCs w:val="24"/>
        </w:rPr>
      </w:pPr>
      <w:r w:rsidRPr="00B2226A">
        <w:rPr>
          <w:rFonts w:ascii="Arial" w:hAnsi="Arial" w:cs="Arial"/>
          <w:sz w:val="24"/>
          <w:szCs w:val="24"/>
        </w:rPr>
        <w:lastRenderedPageBreak/>
        <w:t>The Committee will review periodically the suitability and effectiveness of the classification structure and classification assessment methodology for the Executive Group.</w:t>
      </w:r>
    </w:p>
    <w:p w14:paraId="1335823A" w14:textId="77777777" w:rsidR="004B7969" w:rsidRPr="00B2226A" w:rsidRDefault="004B7969" w:rsidP="00F41F01">
      <w:pPr>
        <w:pStyle w:val="Heading2"/>
        <w:rPr>
          <w:lang w:val="en-CA"/>
        </w:rPr>
      </w:pPr>
      <w:bookmarkStart w:id="9" w:name="_Toc127177421"/>
      <w:r w:rsidRPr="00B2226A">
        <w:rPr>
          <w:lang w:val="en-CA"/>
        </w:rPr>
        <w:t>Guiding Principles</w:t>
      </w:r>
      <w:bookmarkEnd w:id="9"/>
    </w:p>
    <w:p w14:paraId="06D19569" w14:textId="77777777" w:rsidR="004B7969" w:rsidRPr="00B2226A" w:rsidRDefault="004B7969" w:rsidP="004B7969">
      <w:pPr>
        <w:pStyle w:val="NoSpacing"/>
        <w:rPr>
          <w:rFonts w:ascii="Arial" w:hAnsi="Arial" w:cs="Arial"/>
          <w:sz w:val="24"/>
          <w:szCs w:val="24"/>
          <w:lang w:val="en-CA"/>
        </w:rPr>
      </w:pPr>
    </w:p>
    <w:p w14:paraId="315D824F" w14:textId="77777777" w:rsidR="004B7969" w:rsidRPr="00B2226A" w:rsidRDefault="004B7969" w:rsidP="004B7969">
      <w:pPr>
        <w:pStyle w:val="NoSpacing"/>
        <w:rPr>
          <w:rFonts w:ascii="Arial" w:hAnsi="Arial" w:cs="Arial"/>
          <w:sz w:val="24"/>
          <w:szCs w:val="24"/>
          <w:lang w:val="en-CA"/>
        </w:rPr>
      </w:pPr>
      <w:bookmarkStart w:id="10" w:name="_Hlk126650545"/>
      <w:r w:rsidRPr="00B2226A">
        <w:rPr>
          <w:rFonts w:ascii="Arial" w:hAnsi="Arial" w:cs="Arial"/>
          <w:sz w:val="24"/>
          <w:szCs w:val="24"/>
          <w:lang w:val="en-CA"/>
        </w:rPr>
        <w:t xml:space="preserve">The Committee’s work and recommendations to guide the Government on decisions regarding executive compensation, policies and benefits and terms and conditions of employment are to be based on the following principles:  </w:t>
      </w:r>
    </w:p>
    <w:bookmarkEnd w:id="10"/>
    <w:p w14:paraId="6B5CEE22" w14:textId="77777777" w:rsidR="004B7969" w:rsidRPr="00B2226A" w:rsidRDefault="004B7969" w:rsidP="004B7969">
      <w:pPr>
        <w:pStyle w:val="NoSpacing"/>
        <w:rPr>
          <w:rFonts w:ascii="Arial" w:hAnsi="Arial" w:cs="Arial"/>
          <w:sz w:val="24"/>
          <w:szCs w:val="24"/>
          <w:lang w:val="en-CA"/>
        </w:rPr>
      </w:pPr>
    </w:p>
    <w:p w14:paraId="67287B98" w14:textId="3C90ADF5" w:rsidR="004B7969" w:rsidRPr="00B2226A" w:rsidRDefault="004B7969" w:rsidP="004B7969">
      <w:pPr>
        <w:pStyle w:val="NoSpacing"/>
        <w:numPr>
          <w:ilvl w:val="0"/>
          <w:numId w:val="24"/>
        </w:numPr>
        <w:rPr>
          <w:rFonts w:ascii="Arial" w:hAnsi="Arial" w:cs="Arial"/>
          <w:sz w:val="24"/>
          <w:szCs w:val="24"/>
          <w:lang w:val="en-CA"/>
        </w:rPr>
      </w:pPr>
      <w:r w:rsidRPr="00B2226A">
        <w:rPr>
          <w:rFonts w:ascii="Arial" w:hAnsi="Arial" w:cs="Arial"/>
          <w:sz w:val="24"/>
          <w:szCs w:val="24"/>
          <w:lang w:val="en-CA"/>
        </w:rPr>
        <w:t>Total compensation, including performance pay and terms and conditions of employment for executives are fair, objective, timely, transparent, and effective in attracting and retaining top talent to the executive cadre</w:t>
      </w:r>
      <w:r w:rsidR="00BE5260">
        <w:rPr>
          <w:rFonts w:ascii="Arial" w:hAnsi="Arial" w:cs="Arial"/>
          <w:sz w:val="24"/>
          <w:szCs w:val="24"/>
          <w:lang w:val="en-CA"/>
        </w:rPr>
        <w:t>.</w:t>
      </w:r>
      <w:r w:rsidRPr="00B2226A">
        <w:rPr>
          <w:rFonts w:ascii="Arial" w:hAnsi="Arial" w:cs="Arial"/>
          <w:sz w:val="24"/>
          <w:szCs w:val="24"/>
          <w:lang w:val="en-CA"/>
        </w:rPr>
        <w:t xml:space="preserve"> </w:t>
      </w:r>
    </w:p>
    <w:p w14:paraId="171A7021" w14:textId="79A02308" w:rsidR="004B7969" w:rsidRPr="00B2226A" w:rsidRDefault="004B7969" w:rsidP="004B7969">
      <w:pPr>
        <w:pStyle w:val="NoSpacing"/>
        <w:numPr>
          <w:ilvl w:val="0"/>
          <w:numId w:val="24"/>
        </w:numPr>
        <w:rPr>
          <w:rFonts w:ascii="Arial" w:hAnsi="Arial" w:cs="Arial"/>
          <w:sz w:val="24"/>
          <w:szCs w:val="24"/>
          <w:lang w:val="en-CA"/>
        </w:rPr>
      </w:pPr>
      <w:r w:rsidRPr="00B2226A">
        <w:rPr>
          <w:rFonts w:ascii="Arial" w:hAnsi="Arial" w:cs="Arial"/>
          <w:sz w:val="24"/>
          <w:szCs w:val="24"/>
          <w:lang w:val="en-CA"/>
        </w:rPr>
        <w:t xml:space="preserve">Recognition of the value of the Executive Group to Canadians and Canada will guide the Committee’s recommendations to </w:t>
      </w:r>
      <w:r w:rsidR="00EB7371">
        <w:rPr>
          <w:rFonts w:ascii="Arial" w:hAnsi="Arial" w:cs="Arial"/>
          <w:sz w:val="24"/>
          <w:szCs w:val="24"/>
          <w:lang w:val="en-CA"/>
        </w:rPr>
        <w:t>t</w:t>
      </w:r>
      <w:r w:rsidRPr="00B2226A">
        <w:rPr>
          <w:rFonts w:ascii="Arial" w:hAnsi="Arial" w:cs="Arial"/>
          <w:sz w:val="24"/>
          <w:szCs w:val="24"/>
          <w:lang w:val="en-CA"/>
        </w:rPr>
        <w:t xml:space="preserve">he President of </w:t>
      </w:r>
      <w:r w:rsidR="00EB7371">
        <w:rPr>
          <w:rFonts w:ascii="Arial" w:hAnsi="Arial" w:cs="Arial"/>
          <w:sz w:val="24"/>
          <w:szCs w:val="24"/>
          <w:lang w:val="en-CA"/>
        </w:rPr>
        <w:t xml:space="preserve">the </w:t>
      </w:r>
      <w:r w:rsidRPr="00B2226A">
        <w:rPr>
          <w:rFonts w:ascii="Arial" w:hAnsi="Arial" w:cs="Arial"/>
          <w:sz w:val="24"/>
          <w:szCs w:val="24"/>
          <w:lang w:val="en-CA"/>
        </w:rPr>
        <w:t>Treasury Board.</w:t>
      </w:r>
    </w:p>
    <w:p w14:paraId="6C4C69C4" w14:textId="475B1B17" w:rsidR="004B7969" w:rsidRPr="00B2226A" w:rsidRDefault="004B7969" w:rsidP="004B7969">
      <w:pPr>
        <w:pStyle w:val="NoSpacing"/>
        <w:numPr>
          <w:ilvl w:val="0"/>
          <w:numId w:val="24"/>
        </w:numPr>
        <w:rPr>
          <w:rFonts w:ascii="Arial" w:hAnsi="Arial" w:cs="Arial"/>
          <w:sz w:val="24"/>
          <w:szCs w:val="24"/>
          <w:lang w:val="en-CA"/>
        </w:rPr>
      </w:pPr>
      <w:r w:rsidRPr="00B2226A">
        <w:rPr>
          <w:rFonts w:ascii="Arial" w:hAnsi="Arial" w:cs="Arial"/>
          <w:sz w:val="24"/>
          <w:szCs w:val="24"/>
          <w:lang w:val="en-CA"/>
        </w:rPr>
        <w:t xml:space="preserve">Total compensation provided to the Executive Group must not be governed by the results of collectively bargained </w:t>
      </w:r>
      <w:proofErr w:type="gramStart"/>
      <w:r w:rsidRPr="00B2226A">
        <w:rPr>
          <w:rFonts w:ascii="Arial" w:hAnsi="Arial" w:cs="Arial"/>
          <w:sz w:val="24"/>
          <w:szCs w:val="24"/>
          <w:lang w:val="en-CA"/>
        </w:rPr>
        <w:t>groups, or</w:t>
      </w:r>
      <w:proofErr w:type="gramEnd"/>
      <w:r w:rsidRPr="00B2226A">
        <w:rPr>
          <w:rFonts w:ascii="Arial" w:hAnsi="Arial" w:cs="Arial"/>
          <w:sz w:val="24"/>
          <w:szCs w:val="24"/>
          <w:lang w:val="en-CA"/>
        </w:rPr>
        <w:t xml:space="preserve"> delayed due to collective bargaining</w:t>
      </w:r>
      <w:r w:rsidR="00BE5260">
        <w:rPr>
          <w:rFonts w:ascii="Arial" w:hAnsi="Arial" w:cs="Arial"/>
          <w:sz w:val="24"/>
          <w:szCs w:val="24"/>
          <w:lang w:val="en-CA"/>
        </w:rPr>
        <w:t>.</w:t>
      </w:r>
    </w:p>
    <w:p w14:paraId="4A8284DB" w14:textId="77777777" w:rsidR="004B7969" w:rsidRPr="00B2226A" w:rsidRDefault="004B7969" w:rsidP="004B7969">
      <w:pPr>
        <w:pStyle w:val="NoSpacing"/>
        <w:numPr>
          <w:ilvl w:val="0"/>
          <w:numId w:val="24"/>
        </w:numPr>
        <w:rPr>
          <w:rFonts w:ascii="Arial" w:hAnsi="Arial" w:cs="Arial"/>
          <w:sz w:val="24"/>
          <w:szCs w:val="24"/>
          <w:lang w:val="en-CA"/>
        </w:rPr>
      </w:pPr>
      <w:r w:rsidRPr="00B2226A">
        <w:rPr>
          <w:rFonts w:ascii="Arial" w:hAnsi="Arial" w:cs="Arial"/>
          <w:sz w:val="24"/>
          <w:szCs w:val="24"/>
          <w:lang w:val="en-CA"/>
        </w:rPr>
        <w:t xml:space="preserve">The independent annual data and labour market studies used to inform compensation recommendations are of the highest quality ensuring fairness. </w:t>
      </w:r>
    </w:p>
    <w:p w14:paraId="0C2F9AC1" w14:textId="59BFA62F" w:rsidR="004B7969" w:rsidRPr="00B2226A" w:rsidRDefault="004B7969" w:rsidP="004B7969">
      <w:pPr>
        <w:pStyle w:val="NoSpacing"/>
        <w:numPr>
          <w:ilvl w:val="0"/>
          <w:numId w:val="24"/>
        </w:numPr>
        <w:rPr>
          <w:rFonts w:ascii="Arial" w:hAnsi="Arial" w:cs="Arial"/>
          <w:sz w:val="24"/>
          <w:szCs w:val="24"/>
          <w:lang w:val="en-CA"/>
        </w:rPr>
      </w:pPr>
      <w:r w:rsidRPr="00B2226A">
        <w:rPr>
          <w:rFonts w:ascii="Arial" w:hAnsi="Arial" w:cs="Arial"/>
          <w:sz w:val="24"/>
          <w:szCs w:val="24"/>
          <w:lang w:val="en-CA"/>
        </w:rPr>
        <w:t xml:space="preserve">The results of the independent annual data and labour market studies are shared in a timely manner with APEX for transparency and input provision to the Committee prior to recommendations being provided to the President of </w:t>
      </w:r>
      <w:r w:rsidR="00C07C26">
        <w:rPr>
          <w:rFonts w:ascii="Arial" w:hAnsi="Arial" w:cs="Arial"/>
          <w:sz w:val="24"/>
          <w:szCs w:val="24"/>
          <w:lang w:val="en-CA"/>
        </w:rPr>
        <w:t xml:space="preserve">the </w:t>
      </w:r>
      <w:r w:rsidRPr="00B2226A">
        <w:rPr>
          <w:rFonts w:ascii="Arial" w:hAnsi="Arial" w:cs="Arial"/>
          <w:sz w:val="24"/>
          <w:szCs w:val="24"/>
          <w:lang w:val="en-CA"/>
        </w:rPr>
        <w:t>Treasury Board</w:t>
      </w:r>
      <w:r w:rsidR="00BE5260">
        <w:rPr>
          <w:rFonts w:ascii="Arial" w:hAnsi="Arial" w:cs="Arial"/>
          <w:sz w:val="24"/>
          <w:szCs w:val="24"/>
          <w:lang w:val="en-CA"/>
        </w:rPr>
        <w:t>.</w:t>
      </w:r>
    </w:p>
    <w:p w14:paraId="1950A5BF" w14:textId="10BE8C48" w:rsidR="004B7969" w:rsidRPr="00B2226A" w:rsidRDefault="004B7969" w:rsidP="004B7969">
      <w:pPr>
        <w:pStyle w:val="NoSpacing"/>
        <w:numPr>
          <w:ilvl w:val="0"/>
          <w:numId w:val="24"/>
        </w:numPr>
        <w:rPr>
          <w:rFonts w:ascii="Arial" w:hAnsi="Arial" w:cs="Arial"/>
          <w:sz w:val="24"/>
          <w:szCs w:val="24"/>
          <w:lang w:val="en-CA"/>
        </w:rPr>
      </w:pPr>
      <w:r w:rsidRPr="00B2226A">
        <w:rPr>
          <w:rFonts w:ascii="Arial" w:hAnsi="Arial" w:cs="Arial"/>
          <w:sz w:val="24"/>
          <w:szCs w:val="24"/>
          <w:lang w:val="en-CA"/>
        </w:rPr>
        <w:t xml:space="preserve">Compensation recommendations and decisions must be timely and thus reviewed, </w:t>
      </w:r>
      <w:proofErr w:type="gramStart"/>
      <w:r w:rsidRPr="00B2226A">
        <w:rPr>
          <w:rFonts w:ascii="Arial" w:hAnsi="Arial" w:cs="Arial"/>
          <w:sz w:val="24"/>
          <w:szCs w:val="24"/>
          <w:lang w:val="en-CA"/>
        </w:rPr>
        <w:t>recommended</w:t>
      </w:r>
      <w:proofErr w:type="gramEnd"/>
      <w:r w:rsidRPr="00B2226A">
        <w:rPr>
          <w:rFonts w:ascii="Arial" w:hAnsi="Arial" w:cs="Arial"/>
          <w:sz w:val="24"/>
          <w:szCs w:val="24"/>
          <w:lang w:val="en-CA"/>
        </w:rPr>
        <w:t xml:space="preserve"> and adjusted annually</w:t>
      </w:r>
      <w:r w:rsidR="00BE5260">
        <w:rPr>
          <w:rFonts w:ascii="Arial" w:hAnsi="Arial" w:cs="Arial"/>
          <w:sz w:val="24"/>
          <w:szCs w:val="24"/>
          <w:lang w:val="en-CA"/>
        </w:rPr>
        <w:t>.</w:t>
      </w:r>
    </w:p>
    <w:p w14:paraId="45F35CBD" w14:textId="35D771AA" w:rsidR="004B7969" w:rsidRPr="00B2226A" w:rsidRDefault="004B7969" w:rsidP="004B7969">
      <w:pPr>
        <w:pStyle w:val="NoSpacing"/>
        <w:numPr>
          <w:ilvl w:val="0"/>
          <w:numId w:val="24"/>
        </w:numPr>
        <w:rPr>
          <w:rFonts w:ascii="Arial" w:hAnsi="Arial" w:cs="Arial"/>
          <w:sz w:val="24"/>
          <w:szCs w:val="24"/>
          <w:lang w:val="en-CA"/>
        </w:rPr>
      </w:pPr>
      <w:bookmarkStart w:id="11" w:name="_Hlk127167753"/>
      <w:r w:rsidRPr="00B2226A">
        <w:rPr>
          <w:rFonts w:ascii="Arial" w:hAnsi="Arial" w:cs="Arial"/>
          <w:sz w:val="24"/>
          <w:szCs w:val="24"/>
          <w:lang w:val="en-CA"/>
        </w:rPr>
        <w:t>The implementation of the Committee’s recommendations on executive compensation must also be timely</w:t>
      </w:r>
      <w:r w:rsidR="00BE5260">
        <w:rPr>
          <w:rFonts w:ascii="Arial" w:hAnsi="Arial" w:cs="Arial"/>
          <w:sz w:val="24"/>
          <w:szCs w:val="24"/>
          <w:lang w:val="en-CA"/>
        </w:rPr>
        <w:t>.</w:t>
      </w:r>
    </w:p>
    <w:bookmarkEnd w:id="11"/>
    <w:p w14:paraId="24399C06" w14:textId="291C0B6C" w:rsidR="004B7969" w:rsidRPr="00B2226A" w:rsidRDefault="004B7969" w:rsidP="004B7969">
      <w:pPr>
        <w:pStyle w:val="NoSpacing"/>
        <w:numPr>
          <w:ilvl w:val="0"/>
          <w:numId w:val="24"/>
        </w:numPr>
        <w:rPr>
          <w:rFonts w:ascii="Arial" w:hAnsi="Arial" w:cs="Arial"/>
          <w:sz w:val="24"/>
          <w:szCs w:val="24"/>
          <w:lang w:val="en-CA"/>
        </w:rPr>
      </w:pPr>
      <w:r w:rsidRPr="00B2226A">
        <w:rPr>
          <w:rFonts w:ascii="Arial" w:hAnsi="Arial" w:cs="Arial"/>
          <w:sz w:val="24"/>
          <w:szCs w:val="24"/>
          <w:lang w:val="en-CA"/>
        </w:rPr>
        <w:t xml:space="preserve">A regime of at-risk pay, based on performance measured against predetermined targets and behaviours, must be effective in attracting and retaining top talent, as well as addressing </w:t>
      </w:r>
      <w:r w:rsidR="00631270">
        <w:rPr>
          <w:rFonts w:ascii="Arial" w:hAnsi="Arial" w:cs="Arial"/>
          <w:sz w:val="24"/>
          <w:szCs w:val="24"/>
          <w:lang w:val="en-CA"/>
        </w:rPr>
        <w:t xml:space="preserve">measured </w:t>
      </w:r>
      <w:r w:rsidRPr="00B2226A">
        <w:rPr>
          <w:rFonts w:ascii="Arial" w:hAnsi="Arial" w:cs="Arial"/>
          <w:sz w:val="24"/>
          <w:szCs w:val="24"/>
          <w:lang w:val="en-CA"/>
        </w:rPr>
        <w:t>effort-reward imbalance.</w:t>
      </w:r>
    </w:p>
    <w:p w14:paraId="51235218" w14:textId="77777777" w:rsidR="004B7969" w:rsidRPr="00B2226A" w:rsidRDefault="004B7969" w:rsidP="004B7969">
      <w:pPr>
        <w:pStyle w:val="NoSpacing"/>
        <w:numPr>
          <w:ilvl w:val="0"/>
          <w:numId w:val="24"/>
        </w:numPr>
        <w:rPr>
          <w:rFonts w:ascii="Arial" w:hAnsi="Arial" w:cs="Arial"/>
          <w:sz w:val="24"/>
          <w:szCs w:val="24"/>
          <w:lang w:val="en-CA"/>
        </w:rPr>
      </w:pPr>
      <w:r w:rsidRPr="00B2226A">
        <w:rPr>
          <w:rFonts w:ascii="Arial" w:hAnsi="Arial" w:cs="Arial"/>
          <w:sz w:val="24"/>
          <w:szCs w:val="24"/>
          <w:lang w:val="en-CA"/>
        </w:rPr>
        <w:t xml:space="preserve">Total compensation recommendations must ensure and maintain appropriate relativity with internal feeder groups, with special attention paid to salary compression and inversion </w:t>
      </w:r>
      <w:proofErr w:type="gramStart"/>
      <w:r w:rsidRPr="00B2226A">
        <w:rPr>
          <w:rFonts w:ascii="Arial" w:hAnsi="Arial" w:cs="Arial"/>
          <w:sz w:val="24"/>
          <w:szCs w:val="24"/>
          <w:lang w:val="en-CA"/>
        </w:rPr>
        <w:t>in order to</w:t>
      </w:r>
      <w:proofErr w:type="gramEnd"/>
      <w:r w:rsidRPr="00B2226A">
        <w:rPr>
          <w:rFonts w:ascii="Arial" w:hAnsi="Arial" w:cs="Arial"/>
          <w:sz w:val="24"/>
          <w:szCs w:val="24"/>
          <w:lang w:val="en-CA"/>
        </w:rPr>
        <w:t xml:space="preserve"> generate and maintain a high level of interest in the Executive Group.  </w:t>
      </w:r>
    </w:p>
    <w:p w14:paraId="53113A3C" w14:textId="09F9B4DE" w:rsidR="004B7969" w:rsidRPr="00B2226A" w:rsidRDefault="004B7969" w:rsidP="004B7969">
      <w:pPr>
        <w:pStyle w:val="NoSpacing"/>
        <w:numPr>
          <w:ilvl w:val="0"/>
          <w:numId w:val="24"/>
        </w:numPr>
        <w:rPr>
          <w:rFonts w:ascii="Arial" w:hAnsi="Arial" w:cs="Arial"/>
          <w:sz w:val="24"/>
          <w:szCs w:val="24"/>
          <w:lang w:val="en-CA"/>
        </w:rPr>
      </w:pPr>
      <w:r w:rsidRPr="00B2226A">
        <w:rPr>
          <w:rFonts w:ascii="Arial" w:hAnsi="Arial" w:cs="Arial"/>
          <w:sz w:val="24"/>
          <w:szCs w:val="24"/>
          <w:lang w:val="en-CA"/>
        </w:rPr>
        <w:t xml:space="preserve">Enhancing the distinction between Executive and non-executive Groups must guide and inform the Committee’s recommendations on total compensation, terms and conditions of employment, benefits, </w:t>
      </w:r>
      <w:r w:rsidR="00B9064B" w:rsidRPr="00B2226A">
        <w:rPr>
          <w:rFonts w:ascii="Arial" w:hAnsi="Arial" w:cs="Arial"/>
          <w:sz w:val="24"/>
          <w:szCs w:val="24"/>
          <w:lang w:val="en-CA"/>
        </w:rPr>
        <w:t>perquisites,</w:t>
      </w:r>
      <w:r w:rsidRPr="00B2226A">
        <w:rPr>
          <w:rFonts w:ascii="Arial" w:hAnsi="Arial" w:cs="Arial"/>
          <w:sz w:val="24"/>
          <w:szCs w:val="24"/>
          <w:lang w:val="en-CA"/>
        </w:rPr>
        <w:t xml:space="preserve"> and policies</w:t>
      </w:r>
      <w:r w:rsidR="00BE5260">
        <w:rPr>
          <w:rFonts w:ascii="Arial" w:hAnsi="Arial" w:cs="Arial"/>
          <w:sz w:val="24"/>
          <w:szCs w:val="24"/>
          <w:lang w:val="en-CA"/>
        </w:rPr>
        <w:t>.</w:t>
      </w:r>
    </w:p>
    <w:p w14:paraId="56F3EFA1" w14:textId="62A62B61" w:rsidR="004B7969" w:rsidRPr="00B2226A" w:rsidRDefault="004B7969" w:rsidP="004B7969">
      <w:pPr>
        <w:pStyle w:val="NoSpacing"/>
        <w:numPr>
          <w:ilvl w:val="0"/>
          <w:numId w:val="24"/>
        </w:numPr>
        <w:rPr>
          <w:rFonts w:ascii="Arial" w:hAnsi="Arial" w:cs="Arial"/>
          <w:sz w:val="24"/>
          <w:szCs w:val="24"/>
          <w:lang w:val="en-CA"/>
        </w:rPr>
      </w:pPr>
      <w:r w:rsidRPr="00B2226A">
        <w:rPr>
          <w:rFonts w:ascii="Arial" w:hAnsi="Arial" w:cs="Arial"/>
          <w:sz w:val="24"/>
          <w:szCs w:val="24"/>
          <w:lang w:val="en-CA"/>
        </w:rPr>
        <w:lastRenderedPageBreak/>
        <w:t>The Executive Group classification structure must be best suited to support the delivery of programs and services to Canadians</w:t>
      </w:r>
      <w:r w:rsidR="00BE5260">
        <w:rPr>
          <w:rFonts w:ascii="Arial" w:hAnsi="Arial" w:cs="Arial"/>
          <w:sz w:val="24"/>
          <w:szCs w:val="24"/>
          <w:lang w:val="en-CA"/>
        </w:rPr>
        <w:t>.</w:t>
      </w:r>
      <w:r w:rsidRPr="00B2226A">
        <w:rPr>
          <w:rFonts w:ascii="Arial" w:hAnsi="Arial" w:cs="Arial"/>
          <w:sz w:val="24"/>
          <w:szCs w:val="24"/>
          <w:lang w:val="en-CA"/>
        </w:rPr>
        <w:t xml:space="preserve"> </w:t>
      </w:r>
    </w:p>
    <w:p w14:paraId="673CD98A" w14:textId="77777777" w:rsidR="004B7969" w:rsidRPr="00B2226A" w:rsidRDefault="004B7969" w:rsidP="004B7969">
      <w:pPr>
        <w:pStyle w:val="NoSpacing"/>
        <w:rPr>
          <w:rFonts w:ascii="Arial" w:hAnsi="Arial" w:cs="Arial"/>
          <w:sz w:val="24"/>
          <w:szCs w:val="24"/>
          <w:lang w:val="en-CA"/>
        </w:rPr>
      </w:pPr>
    </w:p>
    <w:p w14:paraId="24726C1C" w14:textId="77777777" w:rsidR="004B7969" w:rsidRPr="00B2226A" w:rsidRDefault="004B7969" w:rsidP="004B7969">
      <w:pPr>
        <w:pStyle w:val="NoSpacing"/>
        <w:rPr>
          <w:rFonts w:ascii="Arial" w:hAnsi="Arial" w:cs="Arial"/>
          <w:sz w:val="24"/>
          <w:szCs w:val="24"/>
          <w:lang w:val="en-CA"/>
        </w:rPr>
      </w:pPr>
    </w:p>
    <w:p w14:paraId="13A45586" w14:textId="77777777" w:rsidR="004B7969" w:rsidRPr="00B2226A" w:rsidRDefault="004B7969" w:rsidP="00F41F01">
      <w:pPr>
        <w:pStyle w:val="Heading2"/>
        <w:rPr>
          <w:lang w:val="en-CA"/>
        </w:rPr>
      </w:pPr>
      <w:bookmarkStart w:id="12" w:name="_Toc127177422"/>
      <w:r w:rsidRPr="00B2226A">
        <w:rPr>
          <w:lang w:val="en-CA"/>
        </w:rPr>
        <w:t>Methodology</w:t>
      </w:r>
      <w:bookmarkEnd w:id="12"/>
    </w:p>
    <w:p w14:paraId="2271AEA1" w14:textId="77777777" w:rsidR="004B7969" w:rsidRPr="00B2226A" w:rsidRDefault="004B7969" w:rsidP="004B7969">
      <w:pPr>
        <w:pStyle w:val="NoSpacing"/>
        <w:rPr>
          <w:rFonts w:ascii="Arial" w:hAnsi="Arial" w:cs="Arial"/>
          <w:sz w:val="24"/>
          <w:szCs w:val="24"/>
          <w:lang w:val="en-CA"/>
        </w:rPr>
      </w:pPr>
    </w:p>
    <w:p w14:paraId="7E450BC2" w14:textId="77777777" w:rsidR="004B7969" w:rsidRPr="00B2226A" w:rsidRDefault="004B7969" w:rsidP="004B7969">
      <w:pPr>
        <w:pStyle w:val="NoSpacing"/>
        <w:rPr>
          <w:rFonts w:ascii="Arial" w:hAnsi="Arial" w:cs="Arial"/>
          <w:sz w:val="24"/>
          <w:szCs w:val="24"/>
          <w:lang w:val="en-CA"/>
        </w:rPr>
      </w:pPr>
      <w:r w:rsidRPr="00B2226A">
        <w:rPr>
          <w:rFonts w:ascii="Arial" w:hAnsi="Arial" w:cs="Arial"/>
          <w:sz w:val="24"/>
          <w:szCs w:val="24"/>
          <w:lang w:val="en-CA"/>
        </w:rPr>
        <w:t>To ensure total compensation recommendations and decisions for executives are fair, objective, timely, transparent, and effective in attracting and retaining top talent, the following methodological components shall be applied:</w:t>
      </w:r>
    </w:p>
    <w:p w14:paraId="39E1174D" w14:textId="77777777" w:rsidR="004B7969" w:rsidRPr="00B2226A" w:rsidRDefault="004B7969" w:rsidP="004B7969">
      <w:pPr>
        <w:pStyle w:val="NoSpacing"/>
        <w:rPr>
          <w:rFonts w:ascii="Arial" w:hAnsi="Arial" w:cs="Arial"/>
          <w:sz w:val="24"/>
          <w:szCs w:val="24"/>
          <w:lang w:val="en-CA"/>
        </w:rPr>
      </w:pPr>
    </w:p>
    <w:p w14:paraId="0B47A856" w14:textId="3E6F6DF8" w:rsidR="004B7969" w:rsidRPr="00B2226A" w:rsidRDefault="004B7969" w:rsidP="004B7969">
      <w:pPr>
        <w:pStyle w:val="NoSpacing"/>
        <w:numPr>
          <w:ilvl w:val="0"/>
          <w:numId w:val="24"/>
        </w:numPr>
        <w:rPr>
          <w:rFonts w:ascii="Arial" w:hAnsi="Arial" w:cs="Arial"/>
          <w:sz w:val="24"/>
          <w:szCs w:val="24"/>
          <w:lang w:val="en-CA"/>
        </w:rPr>
      </w:pPr>
      <w:r w:rsidRPr="00B2226A">
        <w:rPr>
          <w:rFonts w:ascii="Arial" w:hAnsi="Arial" w:cs="Arial"/>
          <w:sz w:val="24"/>
          <w:szCs w:val="24"/>
          <w:lang w:val="en-CA"/>
        </w:rPr>
        <w:t>The Committee will review the current TBS total compensation methodology applicable to executives and recommend appropriate changes in support of the guiding principles and methodology provided in this document</w:t>
      </w:r>
      <w:r w:rsidR="00BE5260">
        <w:rPr>
          <w:rFonts w:ascii="Arial" w:hAnsi="Arial" w:cs="Arial"/>
          <w:sz w:val="24"/>
          <w:szCs w:val="24"/>
          <w:lang w:val="en-CA"/>
        </w:rPr>
        <w:t>.</w:t>
      </w:r>
      <w:r w:rsidRPr="00B2226A">
        <w:rPr>
          <w:rFonts w:ascii="Arial" w:hAnsi="Arial" w:cs="Arial"/>
          <w:sz w:val="24"/>
          <w:szCs w:val="24"/>
          <w:lang w:val="en-CA"/>
        </w:rPr>
        <w:t xml:space="preserve"> </w:t>
      </w:r>
    </w:p>
    <w:p w14:paraId="5711AA08" w14:textId="37066D20" w:rsidR="004B7969" w:rsidRPr="00B2226A" w:rsidRDefault="004B7969" w:rsidP="004B7969">
      <w:pPr>
        <w:pStyle w:val="ListParagraph"/>
        <w:numPr>
          <w:ilvl w:val="0"/>
          <w:numId w:val="25"/>
        </w:numPr>
        <w:spacing w:after="160" w:line="259" w:lineRule="auto"/>
        <w:rPr>
          <w:rFonts w:ascii="Arial" w:hAnsi="Arial" w:cs="Arial"/>
          <w:sz w:val="24"/>
          <w:szCs w:val="24"/>
        </w:rPr>
      </w:pPr>
      <w:r w:rsidRPr="00B2226A">
        <w:rPr>
          <w:rFonts w:ascii="Arial" w:hAnsi="Arial" w:cs="Arial"/>
          <w:sz w:val="24"/>
          <w:szCs w:val="24"/>
        </w:rPr>
        <w:t xml:space="preserve">The </w:t>
      </w:r>
      <w:r w:rsidR="00C07C26">
        <w:rPr>
          <w:rFonts w:ascii="Arial" w:hAnsi="Arial" w:cs="Arial"/>
          <w:sz w:val="24"/>
          <w:szCs w:val="24"/>
        </w:rPr>
        <w:t>C</w:t>
      </w:r>
      <w:r w:rsidRPr="00B2226A">
        <w:rPr>
          <w:rFonts w:ascii="Arial" w:hAnsi="Arial" w:cs="Arial"/>
          <w:sz w:val="24"/>
          <w:szCs w:val="24"/>
        </w:rPr>
        <w:t xml:space="preserve">ommittee shall provide annual total compensation recommendations to the President of </w:t>
      </w:r>
      <w:r w:rsidR="00EB7371">
        <w:rPr>
          <w:rFonts w:ascii="Arial" w:hAnsi="Arial" w:cs="Arial"/>
          <w:sz w:val="24"/>
          <w:szCs w:val="24"/>
        </w:rPr>
        <w:t xml:space="preserve">the </w:t>
      </w:r>
      <w:r w:rsidRPr="00B2226A">
        <w:rPr>
          <w:rFonts w:ascii="Arial" w:hAnsi="Arial" w:cs="Arial"/>
          <w:sz w:val="24"/>
          <w:szCs w:val="24"/>
        </w:rPr>
        <w:t>Treasury Board of Canada</w:t>
      </w:r>
      <w:r w:rsidR="00BE5260">
        <w:rPr>
          <w:rFonts w:ascii="Arial" w:hAnsi="Arial" w:cs="Arial"/>
          <w:sz w:val="24"/>
          <w:szCs w:val="24"/>
        </w:rPr>
        <w:t>.</w:t>
      </w:r>
    </w:p>
    <w:p w14:paraId="5BB4D6FC" w14:textId="0BBE61D8" w:rsidR="004B7969" w:rsidRPr="00B2226A" w:rsidRDefault="004B7969" w:rsidP="004B7969">
      <w:pPr>
        <w:pStyle w:val="ListParagraph"/>
        <w:numPr>
          <w:ilvl w:val="0"/>
          <w:numId w:val="25"/>
        </w:numPr>
        <w:spacing w:after="160" w:line="259" w:lineRule="auto"/>
        <w:rPr>
          <w:rFonts w:ascii="Arial" w:hAnsi="Arial" w:cs="Arial"/>
          <w:sz w:val="24"/>
          <w:szCs w:val="24"/>
        </w:rPr>
      </w:pPr>
      <w:r w:rsidRPr="00B2226A">
        <w:rPr>
          <w:rFonts w:ascii="Arial" w:hAnsi="Arial" w:cs="Arial"/>
          <w:sz w:val="24"/>
          <w:szCs w:val="24"/>
        </w:rPr>
        <w:t xml:space="preserve">The </w:t>
      </w:r>
      <w:r w:rsidR="008D45FD">
        <w:rPr>
          <w:rFonts w:ascii="Arial" w:hAnsi="Arial" w:cs="Arial"/>
          <w:sz w:val="24"/>
          <w:szCs w:val="24"/>
        </w:rPr>
        <w:t>C</w:t>
      </w:r>
      <w:r w:rsidRPr="00B2226A">
        <w:rPr>
          <w:rFonts w:ascii="Arial" w:hAnsi="Arial" w:cs="Arial"/>
          <w:sz w:val="24"/>
          <w:szCs w:val="24"/>
        </w:rPr>
        <w:t>ommittee shall periodically review and recommend amendments to the Executive Group’s terms and conditions of employment, policies and benefits. The frequency of these reviews will be determined by the Committee to ensure recommendations are fair, objective, timely, transparent, and effective in attracting and retaining top talent.</w:t>
      </w:r>
    </w:p>
    <w:p w14:paraId="43A878D5" w14:textId="53B61C90" w:rsidR="004B7969" w:rsidRPr="00B2226A" w:rsidRDefault="004B7969" w:rsidP="004B7969">
      <w:pPr>
        <w:pStyle w:val="ListParagraph"/>
        <w:numPr>
          <w:ilvl w:val="0"/>
          <w:numId w:val="25"/>
        </w:numPr>
        <w:spacing w:after="160" w:line="259" w:lineRule="auto"/>
        <w:rPr>
          <w:rFonts w:ascii="Arial" w:hAnsi="Arial" w:cs="Arial"/>
        </w:rPr>
      </w:pPr>
      <w:r w:rsidRPr="00B2226A">
        <w:rPr>
          <w:rFonts w:ascii="Arial" w:hAnsi="Arial" w:cs="Arial"/>
          <w:sz w:val="24"/>
          <w:szCs w:val="24"/>
        </w:rPr>
        <w:t xml:space="preserve">A benchmarking </w:t>
      </w:r>
      <w:bookmarkStart w:id="13" w:name="_Hlk127170530"/>
      <w:r w:rsidRPr="00B2226A">
        <w:rPr>
          <w:rFonts w:ascii="Arial" w:hAnsi="Arial" w:cs="Arial"/>
          <w:sz w:val="24"/>
          <w:szCs w:val="24"/>
        </w:rPr>
        <w:t xml:space="preserve">data labour market study </w:t>
      </w:r>
      <w:bookmarkEnd w:id="13"/>
      <w:r w:rsidRPr="00B2226A">
        <w:rPr>
          <w:rFonts w:ascii="Arial" w:hAnsi="Arial" w:cs="Arial"/>
          <w:sz w:val="24"/>
          <w:szCs w:val="24"/>
        </w:rPr>
        <w:t>comparing total compensation for the EX-01 level with key internal feeder groups, as well as relevant private and public sector external comparators, is to be conducted by an independent external firm and provided annually to the Committee</w:t>
      </w:r>
      <w:r w:rsidR="00BE5260">
        <w:rPr>
          <w:rFonts w:ascii="Arial" w:hAnsi="Arial" w:cs="Arial"/>
          <w:sz w:val="24"/>
          <w:szCs w:val="24"/>
        </w:rPr>
        <w:t>.</w:t>
      </w:r>
    </w:p>
    <w:p w14:paraId="313063D0" w14:textId="4DFA04EF" w:rsidR="004B7969" w:rsidRPr="00B2226A" w:rsidRDefault="004B7969" w:rsidP="004B7969">
      <w:pPr>
        <w:pStyle w:val="ListParagraph"/>
        <w:numPr>
          <w:ilvl w:val="0"/>
          <w:numId w:val="25"/>
        </w:numPr>
        <w:spacing w:after="160" w:line="259" w:lineRule="auto"/>
        <w:rPr>
          <w:rFonts w:ascii="Arial" w:hAnsi="Arial" w:cs="Arial"/>
          <w:sz w:val="24"/>
          <w:szCs w:val="24"/>
        </w:rPr>
      </w:pPr>
      <w:r w:rsidRPr="00B2226A">
        <w:rPr>
          <w:rFonts w:ascii="Arial" w:hAnsi="Arial" w:cs="Arial"/>
          <w:sz w:val="24"/>
          <w:szCs w:val="24"/>
        </w:rPr>
        <w:t xml:space="preserve">The data labour market study and the </w:t>
      </w:r>
      <w:r w:rsidR="008D45FD">
        <w:rPr>
          <w:rFonts w:ascii="Arial" w:hAnsi="Arial" w:cs="Arial"/>
          <w:sz w:val="24"/>
          <w:szCs w:val="24"/>
        </w:rPr>
        <w:t>C</w:t>
      </w:r>
      <w:r w:rsidRPr="00B2226A">
        <w:rPr>
          <w:rFonts w:ascii="Arial" w:hAnsi="Arial" w:cs="Arial"/>
          <w:sz w:val="24"/>
          <w:szCs w:val="24"/>
        </w:rPr>
        <w:t>ommittee recommendations to adjust of executive total compensation are to be based on no less than the 50</w:t>
      </w:r>
      <w:r w:rsidRPr="00B2226A">
        <w:rPr>
          <w:rFonts w:ascii="Arial" w:hAnsi="Arial" w:cs="Arial"/>
          <w:sz w:val="24"/>
          <w:szCs w:val="24"/>
          <w:vertAlign w:val="superscript"/>
        </w:rPr>
        <w:t>th</w:t>
      </w:r>
      <w:r w:rsidRPr="00B2226A">
        <w:rPr>
          <w:rFonts w:ascii="Arial" w:hAnsi="Arial" w:cs="Arial"/>
          <w:sz w:val="24"/>
          <w:szCs w:val="24"/>
        </w:rPr>
        <w:t xml:space="preserve"> percentile of the selected public and private external comparators</w:t>
      </w:r>
      <w:r w:rsidR="00BE5260">
        <w:rPr>
          <w:rFonts w:ascii="Arial" w:hAnsi="Arial" w:cs="Arial"/>
          <w:sz w:val="24"/>
          <w:szCs w:val="24"/>
        </w:rPr>
        <w:t>.</w:t>
      </w:r>
      <w:r w:rsidRPr="00B2226A">
        <w:rPr>
          <w:rFonts w:ascii="Arial" w:hAnsi="Arial" w:cs="Arial"/>
          <w:sz w:val="24"/>
          <w:szCs w:val="24"/>
        </w:rPr>
        <w:t xml:space="preserve"> </w:t>
      </w:r>
    </w:p>
    <w:p w14:paraId="2871F3A3" w14:textId="5211C357" w:rsidR="004B7969" w:rsidRPr="00B2226A" w:rsidRDefault="004B7969" w:rsidP="004B7969">
      <w:pPr>
        <w:pStyle w:val="ListParagraph"/>
        <w:numPr>
          <w:ilvl w:val="0"/>
          <w:numId w:val="25"/>
        </w:numPr>
        <w:spacing w:after="160" w:line="259" w:lineRule="auto"/>
        <w:rPr>
          <w:rFonts w:ascii="Arial" w:hAnsi="Arial" w:cs="Arial"/>
          <w:sz w:val="24"/>
          <w:szCs w:val="24"/>
        </w:rPr>
      </w:pPr>
      <w:r w:rsidRPr="00B2226A">
        <w:rPr>
          <w:rFonts w:ascii="Arial" w:hAnsi="Arial" w:cs="Arial"/>
          <w:sz w:val="24"/>
          <w:szCs w:val="24"/>
        </w:rPr>
        <w:t>Results of the benchmarking data labour market study are to be provided to the Committee sufficiently early, allowing time to make recommendations and allow Government decisions to be announced each year, in April</w:t>
      </w:r>
      <w:r w:rsidR="00BE5260">
        <w:rPr>
          <w:rFonts w:ascii="Arial" w:hAnsi="Arial" w:cs="Arial"/>
          <w:sz w:val="24"/>
          <w:szCs w:val="24"/>
        </w:rPr>
        <w:t>.</w:t>
      </w:r>
    </w:p>
    <w:p w14:paraId="369C7C39" w14:textId="53BC091F" w:rsidR="004B7969" w:rsidRPr="00B2226A" w:rsidRDefault="004B7969" w:rsidP="004B7969">
      <w:pPr>
        <w:pStyle w:val="ListParagraph"/>
        <w:numPr>
          <w:ilvl w:val="0"/>
          <w:numId w:val="25"/>
        </w:numPr>
        <w:spacing w:after="160" w:line="259" w:lineRule="auto"/>
        <w:rPr>
          <w:rFonts w:ascii="Arial" w:hAnsi="Arial" w:cs="Arial"/>
          <w:sz w:val="24"/>
          <w:szCs w:val="24"/>
        </w:rPr>
      </w:pPr>
      <w:r w:rsidRPr="00B2226A">
        <w:rPr>
          <w:rFonts w:ascii="Arial" w:hAnsi="Arial" w:cs="Arial"/>
          <w:sz w:val="24"/>
          <w:szCs w:val="24"/>
        </w:rPr>
        <w:t>The results of the EX-01 benchmarking data labour market study are to be applied annually to all executive levels</w:t>
      </w:r>
      <w:r w:rsidR="00BE5260">
        <w:rPr>
          <w:rFonts w:ascii="Arial" w:hAnsi="Arial" w:cs="Arial"/>
          <w:sz w:val="24"/>
          <w:szCs w:val="24"/>
        </w:rPr>
        <w:t>.</w:t>
      </w:r>
    </w:p>
    <w:p w14:paraId="2C565F8A" w14:textId="535416AF" w:rsidR="004B7969" w:rsidRPr="00B2226A" w:rsidRDefault="004B7969" w:rsidP="004B7969">
      <w:pPr>
        <w:pStyle w:val="ListParagraph"/>
        <w:numPr>
          <w:ilvl w:val="0"/>
          <w:numId w:val="25"/>
        </w:numPr>
        <w:spacing w:after="160" w:line="259" w:lineRule="auto"/>
        <w:rPr>
          <w:rFonts w:ascii="Arial" w:hAnsi="Arial" w:cs="Arial"/>
          <w:sz w:val="24"/>
          <w:szCs w:val="24"/>
        </w:rPr>
      </w:pPr>
      <w:r w:rsidRPr="00B2226A">
        <w:rPr>
          <w:rFonts w:ascii="Arial" w:hAnsi="Arial" w:cs="Arial"/>
          <w:sz w:val="24"/>
          <w:szCs w:val="24"/>
        </w:rPr>
        <w:t>Total compensation is to include the total value of salary, performance pay, benefits (e.g., leave provisions, pension, insurance and other entitlements)</w:t>
      </w:r>
      <w:r w:rsidR="00BE5260">
        <w:rPr>
          <w:rFonts w:ascii="Arial" w:hAnsi="Arial" w:cs="Arial"/>
          <w:sz w:val="24"/>
          <w:szCs w:val="24"/>
        </w:rPr>
        <w:t>.</w:t>
      </w:r>
    </w:p>
    <w:p w14:paraId="089BF9E4" w14:textId="77777777" w:rsidR="004B7969" w:rsidRPr="00B2226A" w:rsidRDefault="004B7969" w:rsidP="004B7969">
      <w:pPr>
        <w:pStyle w:val="ListParagraph"/>
        <w:numPr>
          <w:ilvl w:val="0"/>
          <w:numId w:val="25"/>
        </w:numPr>
        <w:spacing w:after="160" w:line="259" w:lineRule="auto"/>
        <w:rPr>
          <w:rFonts w:ascii="Arial" w:hAnsi="Arial" w:cs="Arial"/>
          <w:sz w:val="24"/>
          <w:szCs w:val="24"/>
        </w:rPr>
      </w:pPr>
      <w:r w:rsidRPr="00B2226A">
        <w:rPr>
          <w:rFonts w:ascii="Arial" w:hAnsi="Arial" w:cs="Arial"/>
          <w:sz w:val="24"/>
          <w:szCs w:val="24"/>
        </w:rPr>
        <w:lastRenderedPageBreak/>
        <w:t xml:space="preserve">The Committee will provide recommendations that ensure an appropriate and effective compensation gap between the maximum EX-01 salary and the maximum salary of the key feeder groups, to avoid salary compression that negatively impacts attraction and retention. </w:t>
      </w:r>
    </w:p>
    <w:p w14:paraId="03E85FF3" w14:textId="7F906E95" w:rsidR="00625553" w:rsidRDefault="004B7969" w:rsidP="009E4120">
      <w:pPr>
        <w:pStyle w:val="ListParagraph"/>
        <w:numPr>
          <w:ilvl w:val="0"/>
          <w:numId w:val="24"/>
        </w:numPr>
        <w:spacing w:after="160" w:line="259" w:lineRule="auto"/>
        <w:rPr>
          <w:rFonts w:ascii="Arial" w:hAnsi="Arial" w:cs="Arial"/>
          <w:sz w:val="24"/>
          <w:szCs w:val="24"/>
        </w:rPr>
      </w:pPr>
      <w:r w:rsidRPr="00625553">
        <w:rPr>
          <w:rFonts w:ascii="Arial" w:hAnsi="Arial" w:cs="Arial"/>
          <w:sz w:val="24"/>
          <w:szCs w:val="24"/>
        </w:rPr>
        <w:t xml:space="preserve">For greater clarity, the </w:t>
      </w:r>
      <w:r w:rsidR="008D45FD">
        <w:rPr>
          <w:rFonts w:ascii="Arial" w:hAnsi="Arial" w:cs="Arial"/>
          <w:sz w:val="24"/>
          <w:szCs w:val="24"/>
        </w:rPr>
        <w:t>C</w:t>
      </w:r>
      <w:r w:rsidRPr="00625553">
        <w:rPr>
          <w:rFonts w:ascii="Arial" w:hAnsi="Arial" w:cs="Arial"/>
          <w:sz w:val="24"/>
          <w:szCs w:val="24"/>
        </w:rPr>
        <w:t xml:space="preserve">ommittee is not to have authority to provide a recommendation on executive compensation that would lead to a </w:t>
      </w:r>
      <w:bookmarkStart w:id="14" w:name="_Hlk127172910"/>
      <w:r w:rsidRPr="00625553">
        <w:rPr>
          <w:rFonts w:ascii="Arial" w:hAnsi="Arial" w:cs="Arial"/>
          <w:sz w:val="24"/>
          <w:szCs w:val="24"/>
        </w:rPr>
        <w:t>maximum rate of pay at the EX-01 level that is less than 10% greater than the average of the top five feeder groups with highest maximum rates of pay.</w:t>
      </w:r>
      <w:bookmarkEnd w:id="14"/>
    </w:p>
    <w:p w14:paraId="5A7DE6E1" w14:textId="6C055A38" w:rsidR="00625553" w:rsidRPr="00625553" w:rsidRDefault="004B7969" w:rsidP="009E4120">
      <w:pPr>
        <w:pStyle w:val="ListParagraph"/>
        <w:numPr>
          <w:ilvl w:val="0"/>
          <w:numId w:val="24"/>
        </w:numPr>
        <w:spacing w:after="160" w:line="259" w:lineRule="auto"/>
        <w:rPr>
          <w:rFonts w:ascii="Arial" w:hAnsi="Arial" w:cs="Arial"/>
          <w:sz w:val="24"/>
          <w:szCs w:val="24"/>
        </w:rPr>
      </w:pPr>
      <w:r w:rsidRPr="00625553">
        <w:rPr>
          <w:rFonts w:ascii="Arial" w:hAnsi="Arial" w:cs="Arial"/>
          <w:sz w:val="24"/>
          <w:szCs w:val="24"/>
        </w:rPr>
        <w:t xml:space="preserve">The Committee must </w:t>
      </w:r>
      <w:r w:rsidR="003C65E8">
        <w:rPr>
          <w:rFonts w:ascii="Arial" w:hAnsi="Arial" w:cs="Arial"/>
          <w:sz w:val="24"/>
          <w:szCs w:val="24"/>
        </w:rPr>
        <w:t xml:space="preserve">annually </w:t>
      </w:r>
      <w:r w:rsidR="00625553" w:rsidRPr="00625553">
        <w:rPr>
          <w:rFonts w:ascii="Arial" w:hAnsi="Arial" w:cs="Arial"/>
          <w:sz w:val="24"/>
          <w:szCs w:val="24"/>
        </w:rPr>
        <w:t xml:space="preserve">offer APEX the opportunity to provide advice and pertinent information on behalf of the executive group to the Committee prior to their presentation of annual recommendations on total compensation to the President of </w:t>
      </w:r>
      <w:r w:rsidR="008D45FD">
        <w:rPr>
          <w:rFonts w:ascii="Arial" w:hAnsi="Arial" w:cs="Arial"/>
          <w:sz w:val="24"/>
          <w:szCs w:val="24"/>
        </w:rPr>
        <w:t xml:space="preserve">the </w:t>
      </w:r>
      <w:r w:rsidR="00625553" w:rsidRPr="00625553">
        <w:rPr>
          <w:rFonts w:ascii="Arial" w:hAnsi="Arial" w:cs="Arial"/>
          <w:sz w:val="24"/>
          <w:szCs w:val="24"/>
        </w:rPr>
        <w:t xml:space="preserve">Treasury Board. </w:t>
      </w:r>
    </w:p>
    <w:p w14:paraId="310F8C3C" w14:textId="307AE025" w:rsidR="004B7969" w:rsidRPr="00B2226A" w:rsidRDefault="004B7969" w:rsidP="004B7969">
      <w:pPr>
        <w:pStyle w:val="ListParagraph"/>
        <w:numPr>
          <w:ilvl w:val="0"/>
          <w:numId w:val="25"/>
        </w:numPr>
        <w:spacing w:after="160" w:line="259" w:lineRule="auto"/>
        <w:rPr>
          <w:rFonts w:ascii="Arial" w:hAnsi="Arial" w:cs="Arial"/>
          <w:sz w:val="24"/>
          <w:szCs w:val="24"/>
        </w:rPr>
      </w:pPr>
      <w:r w:rsidRPr="00B2226A">
        <w:rPr>
          <w:rFonts w:ascii="Arial" w:hAnsi="Arial" w:cs="Arial"/>
          <w:sz w:val="24"/>
          <w:szCs w:val="24"/>
        </w:rPr>
        <w:t>The implementation of the Committee’s recommendations on executive compensation must include a pay implementation of no more than 12 months following the Government decision in April of each year</w:t>
      </w:r>
      <w:r w:rsidR="00BE5260">
        <w:rPr>
          <w:rFonts w:ascii="Arial" w:hAnsi="Arial" w:cs="Arial"/>
          <w:sz w:val="24"/>
          <w:szCs w:val="24"/>
        </w:rPr>
        <w:t>.</w:t>
      </w:r>
    </w:p>
    <w:p w14:paraId="3C83A2DA" w14:textId="1E6B6989" w:rsidR="004B7969" w:rsidRPr="00B2226A" w:rsidRDefault="004B7969" w:rsidP="004B7969">
      <w:pPr>
        <w:pStyle w:val="ListParagraph"/>
        <w:ind w:left="360"/>
        <w:rPr>
          <w:rFonts w:ascii="Arial" w:hAnsi="Arial" w:cs="Arial"/>
          <w:sz w:val="24"/>
          <w:szCs w:val="24"/>
        </w:rPr>
      </w:pPr>
    </w:p>
    <w:p w14:paraId="19BC6E2F" w14:textId="6CDBCA80" w:rsidR="000453B5" w:rsidRPr="00B2226A" w:rsidRDefault="000453B5" w:rsidP="004B7969">
      <w:pPr>
        <w:pStyle w:val="ListParagraph"/>
        <w:ind w:left="360"/>
        <w:rPr>
          <w:rFonts w:ascii="Arial" w:hAnsi="Arial" w:cs="Arial"/>
          <w:sz w:val="24"/>
          <w:szCs w:val="24"/>
        </w:rPr>
      </w:pPr>
    </w:p>
    <w:p w14:paraId="46F49100" w14:textId="77777777" w:rsidR="000453B5" w:rsidRPr="00B2226A" w:rsidRDefault="000453B5" w:rsidP="004B7969">
      <w:pPr>
        <w:pStyle w:val="ListParagraph"/>
        <w:ind w:left="360"/>
        <w:rPr>
          <w:rFonts w:ascii="Arial" w:hAnsi="Arial" w:cs="Arial"/>
          <w:sz w:val="24"/>
          <w:szCs w:val="24"/>
        </w:rPr>
      </w:pPr>
    </w:p>
    <w:p w14:paraId="210B62DC" w14:textId="77777777" w:rsidR="004B7969" w:rsidRPr="00B2226A" w:rsidRDefault="004B7969" w:rsidP="00F41F01">
      <w:pPr>
        <w:pStyle w:val="Heading2"/>
        <w:rPr>
          <w:lang w:val="en-CA"/>
        </w:rPr>
      </w:pPr>
      <w:bookmarkStart w:id="15" w:name="_Toc127177423"/>
      <w:r w:rsidRPr="00B2226A">
        <w:rPr>
          <w:lang w:val="en-CA"/>
        </w:rPr>
        <w:t>Expected Outcome</w:t>
      </w:r>
      <w:bookmarkEnd w:id="15"/>
    </w:p>
    <w:p w14:paraId="4CDC4758" w14:textId="77777777" w:rsidR="004B7969" w:rsidRPr="00B2226A" w:rsidRDefault="004B7969" w:rsidP="000453B5">
      <w:pPr>
        <w:pStyle w:val="NoSpacing"/>
        <w:keepNext/>
        <w:keepLines/>
        <w:rPr>
          <w:rFonts w:ascii="Arial" w:hAnsi="Arial" w:cs="Arial"/>
          <w:sz w:val="24"/>
          <w:szCs w:val="24"/>
          <w:lang w:val="en-CA"/>
        </w:rPr>
      </w:pPr>
    </w:p>
    <w:p w14:paraId="39A9E85D" w14:textId="70A5899A" w:rsidR="004B7969" w:rsidRPr="00B2226A" w:rsidRDefault="004B7969" w:rsidP="000453B5">
      <w:pPr>
        <w:pStyle w:val="NoSpacing"/>
        <w:keepNext/>
        <w:keepLines/>
        <w:rPr>
          <w:rFonts w:ascii="Arial" w:hAnsi="Arial" w:cs="Arial"/>
          <w:sz w:val="24"/>
          <w:szCs w:val="24"/>
          <w:lang w:val="en-CA"/>
        </w:rPr>
      </w:pPr>
      <w:r w:rsidRPr="00B2226A">
        <w:rPr>
          <w:rFonts w:ascii="Arial" w:hAnsi="Arial" w:cs="Arial"/>
          <w:sz w:val="24"/>
          <w:szCs w:val="24"/>
          <w:lang w:val="en-CA"/>
        </w:rPr>
        <w:t>The design and implementation of a total compensation scheme that is competitive with comparators, generate</w:t>
      </w:r>
      <w:r w:rsidR="0054437A">
        <w:rPr>
          <w:rFonts w:ascii="Arial" w:hAnsi="Arial" w:cs="Arial"/>
          <w:sz w:val="24"/>
          <w:szCs w:val="24"/>
          <w:lang w:val="en-CA"/>
        </w:rPr>
        <w:t>s</w:t>
      </w:r>
      <w:r w:rsidRPr="00B2226A">
        <w:rPr>
          <w:rFonts w:ascii="Arial" w:hAnsi="Arial" w:cs="Arial"/>
          <w:sz w:val="24"/>
          <w:szCs w:val="24"/>
          <w:lang w:val="en-CA"/>
        </w:rPr>
        <w:t xml:space="preserve"> interest and facilitates attraction and retention to the executive cadre by top talent from feeder groups. This scheme is effective in recognizing effort, increased responsibility, and value and impact of the role of executives. It provides a clear distinction between the executive and non-executive Groups. Further, this total compensation scheme is independent from collective bargaining and results in annual adjustments and contributes to establishing a healthy effort-reward balance and allows the executive cadre to maximize its support to the Government and the delivery of high-quality programs and services to Canadians.</w:t>
      </w:r>
    </w:p>
    <w:p w14:paraId="4644191E" w14:textId="7F2F4ED4" w:rsidR="004B7969" w:rsidRPr="00B2226A" w:rsidRDefault="004B7969" w:rsidP="004B7969">
      <w:pPr>
        <w:pStyle w:val="NoSpacing"/>
        <w:rPr>
          <w:rFonts w:ascii="Arial" w:hAnsi="Arial" w:cs="Arial"/>
          <w:sz w:val="24"/>
          <w:szCs w:val="24"/>
          <w:lang w:val="en-CA"/>
        </w:rPr>
      </w:pPr>
    </w:p>
    <w:p w14:paraId="54F00F87" w14:textId="77777777" w:rsidR="000453B5" w:rsidRPr="00B2226A" w:rsidRDefault="000453B5" w:rsidP="004B7969">
      <w:pPr>
        <w:pStyle w:val="NoSpacing"/>
        <w:rPr>
          <w:rFonts w:ascii="Arial" w:hAnsi="Arial" w:cs="Arial"/>
          <w:sz w:val="24"/>
          <w:szCs w:val="24"/>
          <w:lang w:val="en-CA"/>
        </w:rPr>
      </w:pPr>
    </w:p>
    <w:p w14:paraId="3D846BDD" w14:textId="77777777" w:rsidR="004B7969" w:rsidRPr="00B2226A" w:rsidRDefault="004B7969" w:rsidP="00F41F01">
      <w:pPr>
        <w:pStyle w:val="Heading2"/>
        <w:rPr>
          <w:color w:val="FF0000"/>
          <w:lang w:val="en-CA"/>
        </w:rPr>
      </w:pPr>
      <w:bookmarkStart w:id="16" w:name="_Toc127177424"/>
      <w:r w:rsidRPr="00B2226A">
        <w:rPr>
          <w:lang w:val="en-CA"/>
        </w:rPr>
        <w:t>Review of Terms of Reference</w:t>
      </w:r>
      <w:bookmarkEnd w:id="16"/>
    </w:p>
    <w:p w14:paraId="1C2AE091" w14:textId="77777777" w:rsidR="004B7969" w:rsidRPr="00B2226A" w:rsidRDefault="004B7969" w:rsidP="004B7969">
      <w:pPr>
        <w:pStyle w:val="NoSpacing"/>
        <w:rPr>
          <w:rFonts w:ascii="Arial" w:hAnsi="Arial" w:cs="Arial"/>
          <w:sz w:val="24"/>
          <w:szCs w:val="24"/>
          <w:lang w:val="en-CA"/>
        </w:rPr>
      </w:pPr>
    </w:p>
    <w:p w14:paraId="33F5E801" w14:textId="15A53A01" w:rsidR="004B7969" w:rsidRPr="00B2226A" w:rsidRDefault="004B7969" w:rsidP="004B7969">
      <w:pPr>
        <w:pStyle w:val="NoSpacing"/>
        <w:rPr>
          <w:rFonts w:ascii="Arial" w:hAnsi="Arial" w:cs="Arial"/>
          <w:sz w:val="24"/>
          <w:szCs w:val="24"/>
          <w:lang w:val="en-CA"/>
        </w:rPr>
      </w:pPr>
      <w:r w:rsidRPr="00B2226A">
        <w:rPr>
          <w:rFonts w:ascii="Arial" w:hAnsi="Arial" w:cs="Arial"/>
          <w:sz w:val="24"/>
          <w:szCs w:val="24"/>
          <w:lang w:val="en-CA"/>
        </w:rPr>
        <w:t xml:space="preserve">The Terms of Reference for the Committee will be reviewed and assessed following the initial year of operation and a report will be provided to the President of </w:t>
      </w:r>
      <w:r w:rsidR="00EB7371">
        <w:rPr>
          <w:rFonts w:ascii="Arial" w:hAnsi="Arial" w:cs="Arial"/>
          <w:sz w:val="24"/>
          <w:szCs w:val="24"/>
          <w:lang w:val="en-CA"/>
        </w:rPr>
        <w:t xml:space="preserve">the </w:t>
      </w:r>
      <w:r w:rsidRPr="00B2226A">
        <w:rPr>
          <w:rFonts w:ascii="Arial" w:hAnsi="Arial" w:cs="Arial"/>
          <w:sz w:val="24"/>
          <w:szCs w:val="24"/>
          <w:lang w:val="en-CA"/>
        </w:rPr>
        <w:lastRenderedPageBreak/>
        <w:t xml:space="preserve">Treasury Board with recommendations on amendments, if any. Subsequent reviews and assessments will be conducted every </w:t>
      </w:r>
      <w:r w:rsidR="001E41D1">
        <w:rPr>
          <w:rFonts w:ascii="Arial" w:hAnsi="Arial" w:cs="Arial"/>
          <w:sz w:val="24"/>
          <w:szCs w:val="24"/>
          <w:lang w:val="en-CA"/>
        </w:rPr>
        <w:t>five</w:t>
      </w:r>
      <w:r w:rsidRPr="00B2226A">
        <w:rPr>
          <w:rFonts w:ascii="Arial" w:hAnsi="Arial" w:cs="Arial"/>
          <w:sz w:val="24"/>
          <w:szCs w:val="24"/>
          <w:lang w:val="en-CA"/>
        </w:rPr>
        <w:t xml:space="preserve"> years thereafter, to ensure the Terms of Reference are up to date and relevant.</w:t>
      </w:r>
    </w:p>
    <w:p w14:paraId="7BD23338" w14:textId="77777777" w:rsidR="004B7969" w:rsidRPr="00B2226A" w:rsidRDefault="004B7969" w:rsidP="004B7969">
      <w:pPr>
        <w:pStyle w:val="NoSpacing"/>
        <w:rPr>
          <w:rFonts w:ascii="Arial" w:hAnsi="Arial" w:cs="Arial"/>
          <w:b/>
          <w:bCs/>
          <w:sz w:val="28"/>
          <w:szCs w:val="28"/>
          <w:lang w:val="en-CA"/>
        </w:rPr>
      </w:pPr>
    </w:p>
    <w:p w14:paraId="4A03E8C6" w14:textId="77777777" w:rsidR="004B7969" w:rsidRPr="00B2226A" w:rsidRDefault="004B7969" w:rsidP="004B7969">
      <w:pPr>
        <w:spacing w:after="160" w:line="259" w:lineRule="auto"/>
        <w:rPr>
          <w:rFonts w:ascii="Arial" w:hAnsi="Arial" w:cs="Arial"/>
          <w:b/>
          <w:bCs/>
          <w:sz w:val="28"/>
          <w:szCs w:val="28"/>
          <w:lang w:val="en-CA" w:eastAsia="en-US"/>
        </w:rPr>
      </w:pPr>
      <w:r w:rsidRPr="00B2226A">
        <w:rPr>
          <w:rFonts w:ascii="Arial" w:hAnsi="Arial" w:cs="Arial"/>
          <w:b/>
          <w:bCs/>
          <w:sz w:val="28"/>
          <w:szCs w:val="28"/>
          <w:lang w:val="en-CA"/>
        </w:rPr>
        <w:br w:type="page"/>
      </w:r>
    </w:p>
    <w:p w14:paraId="1305D078" w14:textId="77777777" w:rsidR="004B7969" w:rsidRPr="00B2226A" w:rsidRDefault="004B7969" w:rsidP="00F41F01">
      <w:pPr>
        <w:pStyle w:val="Heading1"/>
        <w:jc w:val="center"/>
        <w:rPr>
          <w:lang w:val="en-CA"/>
        </w:rPr>
      </w:pPr>
      <w:bookmarkStart w:id="17" w:name="_Toc127177425"/>
      <w:r w:rsidRPr="00B2226A">
        <w:rPr>
          <w:lang w:val="en-CA"/>
        </w:rPr>
        <w:lastRenderedPageBreak/>
        <w:t>Glossary of Terms</w:t>
      </w:r>
      <w:bookmarkEnd w:id="17"/>
    </w:p>
    <w:p w14:paraId="611B4B95" w14:textId="77777777" w:rsidR="004B7969" w:rsidRPr="00B2226A" w:rsidRDefault="004B7969" w:rsidP="004B7969">
      <w:pPr>
        <w:pStyle w:val="NoSpacing"/>
        <w:rPr>
          <w:rFonts w:ascii="Arial" w:hAnsi="Arial" w:cs="Arial"/>
          <w:sz w:val="24"/>
          <w:szCs w:val="24"/>
          <w:lang w:val="en-CA"/>
        </w:rPr>
      </w:pPr>
    </w:p>
    <w:p w14:paraId="6F2F719C" w14:textId="77777777" w:rsidR="004B7969" w:rsidRPr="00B2226A" w:rsidRDefault="004B7969" w:rsidP="004B7969">
      <w:pPr>
        <w:pStyle w:val="NoSpacing"/>
        <w:rPr>
          <w:rFonts w:ascii="Arial" w:hAnsi="Arial" w:cs="Arial"/>
          <w:b/>
          <w:bCs/>
          <w:sz w:val="24"/>
          <w:szCs w:val="24"/>
          <w:lang w:val="en-CA"/>
        </w:rPr>
      </w:pPr>
      <w:r w:rsidRPr="00B2226A">
        <w:rPr>
          <w:rFonts w:ascii="Arial" w:hAnsi="Arial" w:cs="Arial"/>
          <w:b/>
          <w:bCs/>
          <w:sz w:val="24"/>
          <w:szCs w:val="24"/>
          <w:lang w:val="en-CA"/>
        </w:rPr>
        <w:t>Base salary:</w:t>
      </w:r>
    </w:p>
    <w:p w14:paraId="0A266FC0" w14:textId="77777777" w:rsidR="004B7969" w:rsidRPr="00B2226A" w:rsidRDefault="004B7969" w:rsidP="004B7969">
      <w:pPr>
        <w:pStyle w:val="NoSpacing"/>
        <w:rPr>
          <w:rFonts w:ascii="Arial" w:hAnsi="Arial" w:cs="Arial"/>
          <w:sz w:val="24"/>
          <w:szCs w:val="24"/>
          <w:lang w:val="en-CA"/>
        </w:rPr>
      </w:pPr>
      <w:r w:rsidRPr="00B2226A">
        <w:rPr>
          <w:rFonts w:ascii="Arial" w:hAnsi="Arial" w:cs="Arial"/>
          <w:sz w:val="24"/>
          <w:szCs w:val="24"/>
          <w:lang w:val="en-CA"/>
        </w:rPr>
        <w:t>The fixed recurring portion of an employee’s cash compensation received for the performance of the regular duties of a position, exclusive of allowances, performance pay or other compensation or entitlements.</w:t>
      </w:r>
    </w:p>
    <w:p w14:paraId="7F99D8CF" w14:textId="77777777" w:rsidR="004B7969" w:rsidRPr="00B2226A" w:rsidRDefault="004B7969" w:rsidP="004B7969">
      <w:pPr>
        <w:pStyle w:val="NoSpacing"/>
        <w:rPr>
          <w:rFonts w:ascii="Arial" w:hAnsi="Arial" w:cs="Arial"/>
          <w:sz w:val="24"/>
          <w:szCs w:val="24"/>
          <w:highlight w:val="yellow"/>
          <w:lang w:val="en-CA"/>
        </w:rPr>
      </w:pPr>
    </w:p>
    <w:p w14:paraId="4C1F8904" w14:textId="77777777" w:rsidR="004B7969" w:rsidRPr="00B2226A" w:rsidRDefault="004B7969" w:rsidP="004B7969">
      <w:pPr>
        <w:pStyle w:val="NoSpacing"/>
        <w:rPr>
          <w:rFonts w:ascii="Arial" w:hAnsi="Arial" w:cs="Arial"/>
          <w:i/>
          <w:iCs/>
          <w:sz w:val="26"/>
          <w:szCs w:val="26"/>
          <w:highlight w:val="yellow"/>
          <w:lang w:val="en-CA"/>
        </w:rPr>
      </w:pPr>
      <w:r w:rsidRPr="00B2226A">
        <w:rPr>
          <w:rFonts w:ascii="Arial" w:hAnsi="Arial" w:cs="Arial"/>
          <w:b/>
          <w:bCs/>
          <w:sz w:val="24"/>
          <w:szCs w:val="24"/>
          <w:lang w:val="en-CA"/>
        </w:rPr>
        <w:t xml:space="preserve">Classification Methodology </w:t>
      </w:r>
    </w:p>
    <w:p w14:paraId="70D83631" w14:textId="59FC874D" w:rsidR="004B7969" w:rsidRPr="00B2226A" w:rsidRDefault="004B7969" w:rsidP="004B7969">
      <w:pPr>
        <w:pStyle w:val="NoSpacing"/>
        <w:rPr>
          <w:rFonts w:ascii="Arial" w:hAnsi="Arial" w:cs="Arial"/>
          <w:sz w:val="24"/>
          <w:szCs w:val="24"/>
          <w:lang w:val="en-CA"/>
        </w:rPr>
      </w:pPr>
      <w:r w:rsidRPr="00B2226A">
        <w:rPr>
          <w:rFonts w:ascii="Arial" w:hAnsi="Arial" w:cs="Arial"/>
          <w:sz w:val="24"/>
          <w:szCs w:val="24"/>
          <w:lang w:val="en-CA"/>
        </w:rPr>
        <w:t>A point factor job evaluation system that evaluates jobs with respect to "know-how", "problem-solving" and "accountability</w:t>
      </w:r>
      <w:r w:rsidR="001E41D1">
        <w:rPr>
          <w:rFonts w:ascii="Arial" w:hAnsi="Arial" w:cs="Arial"/>
          <w:sz w:val="24"/>
          <w:szCs w:val="24"/>
          <w:lang w:val="en-CA"/>
        </w:rPr>
        <w:t>”.</w:t>
      </w:r>
      <w:r w:rsidRPr="00B2226A">
        <w:rPr>
          <w:rFonts w:ascii="Arial" w:hAnsi="Arial" w:cs="Arial"/>
          <w:sz w:val="24"/>
          <w:szCs w:val="24"/>
          <w:lang w:val="en-CA"/>
        </w:rPr>
        <w:t xml:space="preserve"> Currently the Hay Guide Chart and Profile methodology, commonly called the Hay Plan, is the property of global consulting firm Korn Ferry.</w:t>
      </w:r>
    </w:p>
    <w:p w14:paraId="31A3EA8A" w14:textId="77777777" w:rsidR="004B7969" w:rsidRPr="00B2226A" w:rsidRDefault="004B7969" w:rsidP="004B7969">
      <w:pPr>
        <w:pStyle w:val="NoSpacing"/>
        <w:rPr>
          <w:rFonts w:ascii="Arial" w:hAnsi="Arial" w:cs="Arial"/>
          <w:sz w:val="24"/>
          <w:szCs w:val="24"/>
          <w:highlight w:val="yellow"/>
          <w:lang w:val="en-CA"/>
        </w:rPr>
      </w:pPr>
    </w:p>
    <w:p w14:paraId="786989F8" w14:textId="77777777" w:rsidR="004B7969" w:rsidRPr="00B2226A" w:rsidRDefault="004B7969" w:rsidP="004B7969">
      <w:pPr>
        <w:pStyle w:val="NoSpacing"/>
        <w:rPr>
          <w:rFonts w:ascii="Arial" w:hAnsi="Arial" w:cs="Arial"/>
          <w:b/>
          <w:bCs/>
          <w:sz w:val="24"/>
          <w:szCs w:val="24"/>
          <w:lang w:val="en-CA"/>
        </w:rPr>
      </w:pPr>
      <w:r w:rsidRPr="00B2226A">
        <w:rPr>
          <w:rFonts w:ascii="Arial" w:hAnsi="Arial" w:cs="Arial"/>
          <w:b/>
          <w:bCs/>
          <w:sz w:val="24"/>
          <w:szCs w:val="24"/>
          <w:lang w:val="en-CA"/>
        </w:rPr>
        <w:t>Competitive</w:t>
      </w:r>
    </w:p>
    <w:p w14:paraId="03DEE722" w14:textId="77777777" w:rsidR="004B7969" w:rsidRPr="00B2226A" w:rsidRDefault="004B7969" w:rsidP="004B7969">
      <w:pPr>
        <w:pStyle w:val="NoSpacing"/>
        <w:rPr>
          <w:rFonts w:ascii="Arial" w:hAnsi="Arial" w:cs="Arial"/>
          <w:sz w:val="24"/>
          <w:szCs w:val="24"/>
          <w:lang w:val="en-CA"/>
        </w:rPr>
      </w:pPr>
      <w:r w:rsidRPr="00B2226A">
        <w:rPr>
          <w:rFonts w:ascii="Arial" w:hAnsi="Arial" w:cs="Arial"/>
          <w:sz w:val="24"/>
          <w:szCs w:val="24"/>
          <w:lang w:val="en-CA"/>
        </w:rPr>
        <w:t xml:space="preserve">The Executive group will be considered competitive when their total compensation package ((comprised of the total dollar value of the combined elements of a compensation package including base salary, performance pay, benefits (e.g., leave, pension, insurance and other entitlements)) is sufficient to consistently attract top talent from feeder groups and retain it. </w:t>
      </w:r>
    </w:p>
    <w:p w14:paraId="1955B688" w14:textId="77777777" w:rsidR="004B7969" w:rsidRPr="00B2226A" w:rsidRDefault="004B7969" w:rsidP="004B7969">
      <w:pPr>
        <w:pStyle w:val="NoSpacing"/>
        <w:rPr>
          <w:rFonts w:ascii="Arial" w:hAnsi="Arial" w:cs="Arial"/>
          <w:sz w:val="24"/>
          <w:szCs w:val="24"/>
          <w:lang w:val="en-CA"/>
        </w:rPr>
      </w:pPr>
    </w:p>
    <w:p w14:paraId="08483535" w14:textId="77777777" w:rsidR="004B7969" w:rsidRPr="00B2226A" w:rsidRDefault="004B7969" w:rsidP="004B7969">
      <w:pPr>
        <w:pStyle w:val="NoSpacing"/>
        <w:rPr>
          <w:rFonts w:ascii="Arial" w:hAnsi="Arial" w:cs="Arial"/>
          <w:sz w:val="24"/>
          <w:szCs w:val="24"/>
          <w:lang w:val="en-CA"/>
        </w:rPr>
      </w:pPr>
      <w:r w:rsidRPr="00B2226A">
        <w:rPr>
          <w:rFonts w:ascii="Arial" w:hAnsi="Arial" w:cs="Arial"/>
          <w:sz w:val="24"/>
          <w:szCs w:val="24"/>
          <w:lang w:val="en-CA"/>
        </w:rPr>
        <w:t xml:space="preserve">With respect to external comparators, P50 or greater is to be used as an indicator of competitiveness. </w:t>
      </w:r>
    </w:p>
    <w:p w14:paraId="552DF5C3" w14:textId="77777777" w:rsidR="004B7969" w:rsidRPr="00B2226A" w:rsidRDefault="004B7969" w:rsidP="004B7969">
      <w:pPr>
        <w:pStyle w:val="NoSpacing"/>
        <w:rPr>
          <w:rFonts w:ascii="Arial" w:hAnsi="Arial" w:cs="Arial"/>
          <w:sz w:val="24"/>
          <w:szCs w:val="24"/>
          <w:lang w:val="en-CA"/>
        </w:rPr>
      </w:pPr>
    </w:p>
    <w:p w14:paraId="5F3A2CEE" w14:textId="77777777" w:rsidR="004B7969" w:rsidRPr="00B2226A" w:rsidRDefault="004B7969" w:rsidP="004B7969">
      <w:pPr>
        <w:rPr>
          <w:rFonts w:ascii="Arial" w:hAnsi="Arial" w:cs="Arial"/>
          <w:sz w:val="24"/>
          <w:lang w:val="en-CA"/>
        </w:rPr>
      </w:pPr>
      <w:r w:rsidRPr="00B2226A">
        <w:rPr>
          <w:rFonts w:ascii="Arial" w:hAnsi="Arial" w:cs="Arial"/>
          <w:sz w:val="24"/>
          <w:lang w:val="en-CA"/>
        </w:rPr>
        <w:t>With respect to feeder groups, the maximum rate of pay at the EX-01 level is competitive when it is 10% or greater than the average of the top five feeder groups with highest maximum rates of pay.</w:t>
      </w:r>
    </w:p>
    <w:p w14:paraId="55DA804D" w14:textId="77777777" w:rsidR="004B7969" w:rsidRPr="00B2226A" w:rsidRDefault="004B7969" w:rsidP="004B7969">
      <w:pPr>
        <w:pStyle w:val="NoSpacing"/>
        <w:rPr>
          <w:rFonts w:ascii="Arial" w:hAnsi="Arial" w:cs="Arial"/>
          <w:sz w:val="24"/>
          <w:szCs w:val="24"/>
          <w:lang w:val="en-CA"/>
        </w:rPr>
      </w:pPr>
    </w:p>
    <w:p w14:paraId="3A78DBA5" w14:textId="77777777" w:rsidR="004B7969" w:rsidRPr="00B2226A" w:rsidRDefault="004B7969" w:rsidP="000453B5">
      <w:pPr>
        <w:pStyle w:val="NoSpacing"/>
        <w:keepNext/>
        <w:keepLines/>
        <w:rPr>
          <w:rFonts w:ascii="Arial" w:hAnsi="Arial" w:cs="Arial"/>
          <w:b/>
          <w:bCs/>
          <w:sz w:val="24"/>
          <w:szCs w:val="24"/>
          <w:lang w:val="en-CA"/>
        </w:rPr>
      </w:pPr>
      <w:r w:rsidRPr="00B2226A">
        <w:rPr>
          <w:rFonts w:ascii="Arial" w:hAnsi="Arial" w:cs="Arial"/>
          <w:b/>
          <w:bCs/>
          <w:sz w:val="24"/>
          <w:szCs w:val="24"/>
          <w:lang w:val="en-CA"/>
        </w:rPr>
        <w:lastRenderedPageBreak/>
        <w:t>Executive Group</w:t>
      </w:r>
    </w:p>
    <w:p w14:paraId="498F2255" w14:textId="77777777" w:rsidR="004B7969" w:rsidRPr="00B2226A" w:rsidRDefault="004B7969" w:rsidP="000453B5">
      <w:pPr>
        <w:pStyle w:val="NoSpacing"/>
        <w:keepNext/>
        <w:keepLines/>
        <w:rPr>
          <w:rFonts w:ascii="Arial" w:hAnsi="Arial" w:cs="Arial"/>
          <w:sz w:val="24"/>
          <w:szCs w:val="24"/>
          <w:lang w:val="en-CA"/>
        </w:rPr>
      </w:pPr>
      <w:r w:rsidRPr="00B2226A">
        <w:rPr>
          <w:rFonts w:ascii="Arial" w:hAnsi="Arial" w:cs="Arial"/>
          <w:sz w:val="24"/>
          <w:szCs w:val="24"/>
          <w:lang w:val="en-CA"/>
        </w:rPr>
        <w:t>The occupational group, as defined in the </w:t>
      </w:r>
      <w:hyperlink r:id="rId8" w:history="1">
        <w:r w:rsidRPr="00B2226A">
          <w:rPr>
            <w:rFonts w:ascii="Arial" w:hAnsi="Arial" w:cs="Arial"/>
            <w:sz w:val="24"/>
            <w:szCs w:val="24"/>
            <w:lang w:val="en-CA"/>
          </w:rPr>
          <w:t>Canada Gazette, Part 1, March 27, 1999</w:t>
        </w:r>
      </w:hyperlink>
      <w:r w:rsidRPr="00B2226A">
        <w:rPr>
          <w:rFonts w:ascii="Arial" w:hAnsi="Arial" w:cs="Arial"/>
          <w:sz w:val="24"/>
          <w:szCs w:val="24"/>
          <w:lang w:val="en-CA"/>
        </w:rPr>
        <w:t>, as amended from time to time, including an employee appointed or deployed to an excluded and unrepresented position in one of the following groups and levels:</w:t>
      </w:r>
    </w:p>
    <w:p w14:paraId="1324E51B" w14:textId="77777777" w:rsidR="004B7969" w:rsidRPr="00B2226A" w:rsidRDefault="004B7969" w:rsidP="000453B5">
      <w:pPr>
        <w:pStyle w:val="NoSpacing"/>
        <w:keepNext/>
        <w:keepLines/>
        <w:rPr>
          <w:rFonts w:ascii="Arial" w:hAnsi="Arial" w:cs="Arial"/>
          <w:sz w:val="24"/>
          <w:szCs w:val="24"/>
          <w:highlight w:val="yellow"/>
          <w:lang w:val="en-CA"/>
        </w:rPr>
      </w:pPr>
    </w:p>
    <w:p w14:paraId="09760891" w14:textId="77777777" w:rsidR="004B7969" w:rsidRPr="00B2226A" w:rsidRDefault="004B7969" w:rsidP="000453B5">
      <w:pPr>
        <w:pStyle w:val="NoSpacing"/>
        <w:keepNext/>
        <w:keepLines/>
        <w:numPr>
          <w:ilvl w:val="0"/>
          <w:numId w:val="26"/>
        </w:numPr>
        <w:rPr>
          <w:rFonts w:ascii="Arial" w:hAnsi="Arial" w:cs="Arial"/>
          <w:sz w:val="24"/>
          <w:szCs w:val="24"/>
          <w:lang w:val="en-CA"/>
        </w:rPr>
      </w:pPr>
      <w:r w:rsidRPr="00B2226A">
        <w:rPr>
          <w:rFonts w:ascii="Arial" w:hAnsi="Arial" w:cs="Arial"/>
          <w:sz w:val="24"/>
          <w:szCs w:val="24"/>
          <w:lang w:val="en-CA"/>
        </w:rPr>
        <w:t>Executive (EX) Group, levels 01 to 05;</w:t>
      </w:r>
    </w:p>
    <w:p w14:paraId="1033484B" w14:textId="77777777" w:rsidR="004B7969" w:rsidRPr="00B2226A" w:rsidRDefault="004B7969" w:rsidP="000453B5">
      <w:pPr>
        <w:pStyle w:val="NoSpacing"/>
        <w:keepNext/>
        <w:keepLines/>
        <w:numPr>
          <w:ilvl w:val="0"/>
          <w:numId w:val="26"/>
        </w:numPr>
        <w:rPr>
          <w:rFonts w:ascii="Arial" w:hAnsi="Arial" w:cs="Arial"/>
          <w:sz w:val="24"/>
          <w:szCs w:val="24"/>
          <w:lang w:val="en-CA"/>
        </w:rPr>
      </w:pPr>
      <w:r w:rsidRPr="00B2226A">
        <w:rPr>
          <w:rFonts w:ascii="Arial" w:hAnsi="Arial" w:cs="Arial"/>
          <w:sz w:val="24"/>
          <w:szCs w:val="24"/>
          <w:lang w:val="en-CA"/>
        </w:rPr>
        <w:t>Defence Scientific Service (DS) Group, levels 7A, 7B, and 8;</w:t>
      </w:r>
    </w:p>
    <w:p w14:paraId="1A691FC5" w14:textId="77777777" w:rsidR="004B7969" w:rsidRPr="00B2226A" w:rsidRDefault="004B7969" w:rsidP="008E0122">
      <w:pPr>
        <w:pStyle w:val="NoSpacing"/>
        <w:keepNext/>
        <w:keepLines/>
        <w:numPr>
          <w:ilvl w:val="0"/>
          <w:numId w:val="26"/>
        </w:numPr>
        <w:ind w:left="714" w:hanging="357"/>
        <w:rPr>
          <w:rFonts w:ascii="Arial" w:hAnsi="Arial" w:cs="Arial"/>
          <w:sz w:val="24"/>
          <w:szCs w:val="24"/>
          <w:lang w:val="en-CA"/>
        </w:rPr>
      </w:pPr>
      <w:r w:rsidRPr="00B2226A">
        <w:rPr>
          <w:rFonts w:ascii="Arial" w:hAnsi="Arial" w:cs="Arial"/>
          <w:sz w:val="24"/>
          <w:szCs w:val="24"/>
          <w:lang w:val="en-CA"/>
        </w:rPr>
        <w:t>Medical Officer (MD-MOF) Group, levels 04 and 05;</w:t>
      </w:r>
    </w:p>
    <w:p w14:paraId="4DF476B9" w14:textId="77777777" w:rsidR="004B7969" w:rsidRPr="00B2226A" w:rsidRDefault="004B7969" w:rsidP="008E0122">
      <w:pPr>
        <w:pStyle w:val="NoSpacing"/>
        <w:keepNext/>
        <w:keepLines/>
        <w:numPr>
          <w:ilvl w:val="0"/>
          <w:numId w:val="26"/>
        </w:numPr>
        <w:ind w:left="714" w:hanging="357"/>
        <w:rPr>
          <w:rFonts w:ascii="Arial" w:hAnsi="Arial" w:cs="Arial"/>
          <w:sz w:val="24"/>
          <w:szCs w:val="24"/>
          <w:lang w:val="en-CA"/>
        </w:rPr>
      </w:pPr>
      <w:r w:rsidRPr="00B2226A">
        <w:rPr>
          <w:rFonts w:ascii="Arial" w:hAnsi="Arial" w:cs="Arial"/>
          <w:sz w:val="24"/>
          <w:szCs w:val="24"/>
          <w:lang w:val="en-CA"/>
        </w:rPr>
        <w:t>Medical Specialist (MD-MSP) Group, level 3; or</w:t>
      </w:r>
    </w:p>
    <w:p w14:paraId="367B6CDA" w14:textId="77777777" w:rsidR="004B7969" w:rsidRPr="00B2226A" w:rsidRDefault="004B7969" w:rsidP="008E0122">
      <w:pPr>
        <w:pStyle w:val="NoSpacing"/>
        <w:keepNext/>
        <w:keepLines/>
        <w:numPr>
          <w:ilvl w:val="0"/>
          <w:numId w:val="26"/>
        </w:numPr>
        <w:ind w:left="714" w:hanging="357"/>
        <w:rPr>
          <w:rFonts w:ascii="Arial" w:hAnsi="Arial" w:cs="Arial"/>
          <w:sz w:val="24"/>
          <w:szCs w:val="24"/>
          <w:lang w:val="en-CA"/>
        </w:rPr>
      </w:pPr>
      <w:r w:rsidRPr="00B2226A">
        <w:rPr>
          <w:rFonts w:ascii="Arial" w:hAnsi="Arial" w:cs="Arial"/>
          <w:sz w:val="24"/>
          <w:szCs w:val="24"/>
          <w:lang w:val="en-CA"/>
        </w:rPr>
        <w:t>Law Management (LC) Group, levels 01 to 04.</w:t>
      </w:r>
    </w:p>
    <w:p w14:paraId="41F2B0BE" w14:textId="77777777" w:rsidR="008E0122" w:rsidRDefault="008E0122" w:rsidP="004B7969">
      <w:pPr>
        <w:pStyle w:val="NoSpacing"/>
        <w:rPr>
          <w:rFonts w:ascii="Arial" w:hAnsi="Arial" w:cs="Arial"/>
          <w:b/>
          <w:bCs/>
          <w:sz w:val="24"/>
          <w:szCs w:val="24"/>
          <w:lang w:val="en-CA"/>
        </w:rPr>
      </w:pPr>
    </w:p>
    <w:p w14:paraId="33C3016B" w14:textId="4E663456" w:rsidR="004B7969" w:rsidRPr="00B2226A" w:rsidRDefault="004B7969" w:rsidP="004B7969">
      <w:pPr>
        <w:pStyle w:val="NoSpacing"/>
        <w:rPr>
          <w:rFonts w:ascii="Arial" w:hAnsi="Arial" w:cs="Arial"/>
          <w:b/>
          <w:bCs/>
          <w:sz w:val="24"/>
          <w:szCs w:val="24"/>
          <w:lang w:val="en-CA"/>
        </w:rPr>
      </w:pPr>
      <w:r w:rsidRPr="00B2226A">
        <w:rPr>
          <w:rFonts w:ascii="Arial" w:hAnsi="Arial" w:cs="Arial"/>
          <w:b/>
          <w:bCs/>
          <w:sz w:val="24"/>
          <w:szCs w:val="24"/>
          <w:lang w:val="en-CA"/>
        </w:rPr>
        <w:t>Executive Group Structure</w:t>
      </w:r>
    </w:p>
    <w:p w14:paraId="5B1A457A" w14:textId="74F5CA39" w:rsidR="004B7969" w:rsidRPr="00B2226A" w:rsidRDefault="004B7969" w:rsidP="004B7969">
      <w:pPr>
        <w:pStyle w:val="NoSpacing"/>
        <w:rPr>
          <w:rFonts w:ascii="Arial" w:hAnsi="Arial" w:cs="Arial"/>
          <w:sz w:val="24"/>
          <w:szCs w:val="24"/>
          <w:lang w:val="en-CA"/>
        </w:rPr>
      </w:pPr>
      <w:r w:rsidRPr="00B2226A">
        <w:rPr>
          <w:rFonts w:ascii="Arial" w:hAnsi="Arial" w:cs="Arial"/>
          <w:sz w:val="24"/>
          <w:szCs w:val="24"/>
          <w:lang w:val="en-CA"/>
        </w:rPr>
        <w:t>The Executive (EX) Group structure includes jobs classified at EX levels 01 to 05</w:t>
      </w:r>
      <w:r w:rsidR="00BE5260">
        <w:rPr>
          <w:rFonts w:ascii="Arial" w:hAnsi="Arial" w:cs="Arial"/>
          <w:sz w:val="24"/>
          <w:szCs w:val="24"/>
          <w:lang w:val="en-CA"/>
        </w:rPr>
        <w:t>.</w:t>
      </w:r>
      <w:r w:rsidRPr="00B2226A">
        <w:rPr>
          <w:rFonts w:ascii="Arial" w:hAnsi="Arial" w:cs="Arial"/>
          <w:sz w:val="24"/>
          <w:szCs w:val="24"/>
          <w:lang w:val="en-CA"/>
        </w:rPr>
        <w:t xml:space="preserve"> </w:t>
      </w:r>
    </w:p>
    <w:p w14:paraId="19E850D5" w14:textId="77777777" w:rsidR="004B7969" w:rsidRPr="00B2226A" w:rsidRDefault="004B7969" w:rsidP="004B7969">
      <w:pPr>
        <w:pStyle w:val="NoSpacing"/>
        <w:rPr>
          <w:rFonts w:ascii="Arial" w:hAnsi="Arial" w:cs="Arial"/>
          <w:sz w:val="24"/>
          <w:szCs w:val="24"/>
          <w:lang w:val="en-CA"/>
        </w:rPr>
      </w:pPr>
    </w:p>
    <w:p w14:paraId="0071CA5C" w14:textId="77777777" w:rsidR="004B7969" w:rsidRPr="00B2226A" w:rsidRDefault="004B7969" w:rsidP="004B7969">
      <w:pPr>
        <w:pStyle w:val="NoSpacing"/>
        <w:rPr>
          <w:rFonts w:ascii="Arial" w:hAnsi="Arial" w:cs="Arial"/>
          <w:b/>
          <w:bCs/>
          <w:sz w:val="24"/>
          <w:szCs w:val="24"/>
          <w:lang w:val="en-CA"/>
        </w:rPr>
      </w:pPr>
      <w:r w:rsidRPr="00B2226A">
        <w:rPr>
          <w:rFonts w:ascii="Arial" w:hAnsi="Arial" w:cs="Arial"/>
          <w:b/>
          <w:bCs/>
          <w:sz w:val="24"/>
          <w:szCs w:val="24"/>
          <w:lang w:val="en-CA"/>
        </w:rPr>
        <w:t>Key Feeder Group</w:t>
      </w:r>
    </w:p>
    <w:p w14:paraId="286CC9C5" w14:textId="77777777" w:rsidR="004B7969" w:rsidRPr="00B2226A" w:rsidRDefault="004B7969" w:rsidP="004B7969">
      <w:pPr>
        <w:pStyle w:val="NoSpacing"/>
        <w:rPr>
          <w:rFonts w:ascii="Arial" w:hAnsi="Arial" w:cs="Arial"/>
          <w:sz w:val="24"/>
          <w:szCs w:val="24"/>
          <w:lang w:val="en-CA"/>
        </w:rPr>
      </w:pPr>
      <w:r w:rsidRPr="00B2226A">
        <w:rPr>
          <w:rFonts w:ascii="Arial" w:hAnsi="Arial" w:cs="Arial"/>
          <w:sz w:val="24"/>
          <w:szCs w:val="24"/>
          <w:lang w:val="en-CA"/>
        </w:rPr>
        <w:t xml:space="preserve">Key feeder Groups are defined as EX equivalents and EX minus 1s that predominately fill EX vacancies. </w:t>
      </w:r>
    </w:p>
    <w:p w14:paraId="708553B2" w14:textId="77777777" w:rsidR="004B7969" w:rsidRPr="00B2226A" w:rsidRDefault="004B7969" w:rsidP="004B7969">
      <w:pPr>
        <w:pStyle w:val="NoSpacing"/>
        <w:rPr>
          <w:rFonts w:ascii="Arial" w:hAnsi="Arial" w:cs="Arial"/>
          <w:sz w:val="24"/>
          <w:szCs w:val="24"/>
          <w:lang w:val="en-CA"/>
        </w:rPr>
      </w:pPr>
    </w:p>
    <w:p w14:paraId="45E8C3CB" w14:textId="77777777" w:rsidR="004B7969" w:rsidRPr="00B2226A" w:rsidRDefault="004B7969" w:rsidP="004B7969">
      <w:pPr>
        <w:pStyle w:val="NoSpacing"/>
        <w:rPr>
          <w:rFonts w:ascii="Arial" w:hAnsi="Arial" w:cs="Arial"/>
          <w:sz w:val="24"/>
          <w:szCs w:val="24"/>
          <w:lang w:val="en-CA"/>
        </w:rPr>
      </w:pPr>
      <w:r w:rsidRPr="00B2226A">
        <w:rPr>
          <w:rFonts w:ascii="Arial" w:hAnsi="Arial" w:cs="Arial"/>
          <w:sz w:val="24"/>
          <w:szCs w:val="24"/>
          <w:lang w:val="en-CA"/>
        </w:rPr>
        <w:t>Top feeder groups, which accounted for 72.0% of all candidates appointed to fill 592 EX vacancies in the core public administration, include EC-07, EC-08, PM-06, AS-07, FI-04, PE-06, IT-05, IS-06, ENG-06 and ES-04.</w:t>
      </w:r>
    </w:p>
    <w:p w14:paraId="0DAC292D" w14:textId="77777777" w:rsidR="004B7969" w:rsidRPr="00B2226A" w:rsidRDefault="004B7969" w:rsidP="004B7969">
      <w:pPr>
        <w:pStyle w:val="NoSpacing"/>
        <w:rPr>
          <w:rFonts w:ascii="Arial" w:hAnsi="Arial" w:cs="Arial"/>
          <w:color w:val="FF0000"/>
          <w:sz w:val="24"/>
          <w:szCs w:val="24"/>
          <w:lang w:val="en-CA"/>
        </w:rPr>
      </w:pPr>
    </w:p>
    <w:p w14:paraId="20B46271" w14:textId="77777777" w:rsidR="004B7969" w:rsidRPr="00B2226A" w:rsidRDefault="004B7969" w:rsidP="004B7969">
      <w:pPr>
        <w:pStyle w:val="NoSpacing"/>
        <w:rPr>
          <w:rFonts w:ascii="Arial" w:hAnsi="Arial" w:cs="Arial"/>
          <w:b/>
          <w:bCs/>
          <w:sz w:val="24"/>
          <w:szCs w:val="24"/>
          <w:lang w:val="en-CA"/>
        </w:rPr>
      </w:pPr>
      <w:r w:rsidRPr="00B2226A">
        <w:rPr>
          <w:rFonts w:ascii="Arial" w:hAnsi="Arial" w:cs="Arial"/>
          <w:b/>
          <w:bCs/>
          <w:sz w:val="24"/>
          <w:szCs w:val="24"/>
          <w:lang w:val="en-CA"/>
        </w:rPr>
        <w:t>Other Executive Entitlements</w:t>
      </w:r>
    </w:p>
    <w:p w14:paraId="43313A47" w14:textId="77777777" w:rsidR="004B7969" w:rsidRPr="00B2226A" w:rsidRDefault="004B7969" w:rsidP="004B7969">
      <w:pPr>
        <w:pStyle w:val="NoSpacing"/>
        <w:rPr>
          <w:rFonts w:ascii="Arial" w:hAnsi="Arial" w:cs="Arial"/>
          <w:sz w:val="24"/>
          <w:szCs w:val="24"/>
          <w:lang w:val="en-CA"/>
        </w:rPr>
      </w:pPr>
      <w:r w:rsidRPr="00B2226A">
        <w:rPr>
          <w:rFonts w:ascii="Arial" w:hAnsi="Arial" w:cs="Arial"/>
          <w:sz w:val="24"/>
          <w:szCs w:val="24"/>
          <w:lang w:val="en-CA"/>
        </w:rPr>
        <w:t>Additional elements of a compensation package provided based on status or income level, that serves to further distinguish executives from non-executives.</w:t>
      </w:r>
    </w:p>
    <w:p w14:paraId="52959C98" w14:textId="77777777" w:rsidR="004B7969" w:rsidRPr="00B2226A" w:rsidRDefault="004B7969" w:rsidP="004B7969">
      <w:pPr>
        <w:pStyle w:val="NoSpacing"/>
        <w:rPr>
          <w:rFonts w:ascii="Arial" w:hAnsi="Arial" w:cs="Arial"/>
          <w:sz w:val="24"/>
          <w:szCs w:val="24"/>
          <w:lang w:val="en-CA"/>
        </w:rPr>
      </w:pPr>
    </w:p>
    <w:p w14:paraId="50A55526" w14:textId="77777777" w:rsidR="004B7969" w:rsidRPr="00B2226A" w:rsidRDefault="004B7969" w:rsidP="004B7969">
      <w:pPr>
        <w:pStyle w:val="NoSpacing"/>
        <w:rPr>
          <w:rFonts w:ascii="Arial" w:hAnsi="Arial" w:cs="Arial"/>
          <w:b/>
          <w:bCs/>
          <w:sz w:val="24"/>
          <w:szCs w:val="24"/>
          <w:lang w:val="en-CA"/>
        </w:rPr>
      </w:pPr>
      <w:r w:rsidRPr="00B2226A">
        <w:rPr>
          <w:rFonts w:ascii="Arial" w:hAnsi="Arial" w:cs="Arial"/>
          <w:b/>
          <w:bCs/>
          <w:sz w:val="24"/>
          <w:szCs w:val="24"/>
          <w:lang w:val="en-CA"/>
        </w:rPr>
        <w:t xml:space="preserve">Performance Pay and Award </w:t>
      </w:r>
    </w:p>
    <w:p w14:paraId="71C07C27" w14:textId="6764A1C6" w:rsidR="004B7969" w:rsidRPr="00B2226A" w:rsidRDefault="004B7969" w:rsidP="004B7969">
      <w:pPr>
        <w:pStyle w:val="NoSpacing"/>
        <w:rPr>
          <w:rFonts w:ascii="Arial" w:hAnsi="Arial" w:cs="Arial"/>
          <w:sz w:val="24"/>
          <w:szCs w:val="24"/>
          <w:lang w:val="en-CA"/>
        </w:rPr>
      </w:pPr>
      <w:r w:rsidRPr="00B2226A">
        <w:rPr>
          <w:rFonts w:ascii="Arial" w:hAnsi="Arial" w:cs="Arial"/>
          <w:sz w:val="24"/>
          <w:szCs w:val="24"/>
          <w:lang w:val="en-CA"/>
        </w:rPr>
        <w:t>Performance pay/awards are by their nature, at</w:t>
      </w:r>
      <w:r w:rsidR="001E41D1">
        <w:rPr>
          <w:rFonts w:ascii="Arial" w:hAnsi="Arial" w:cs="Arial"/>
          <w:sz w:val="24"/>
          <w:szCs w:val="24"/>
          <w:lang w:val="en-CA"/>
        </w:rPr>
        <w:t xml:space="preserve"> </w:t>
      </w:r>
      <w:r w:rsidRPr="00B2226A">
        <w:rPr>
          <w:rFonts w:ascii="Arial" w:hAnsi="Arial" w:cs="Arial"/>
          <w:sz w:val="24"/>
          <w:szCs w:val="24"/>
          <w:lang w:val="en-CA"/>
        </w:rPr>
        <w:t>risk, and entirely depend</w:t>
      </w:r>
      <w:r w:rsidR="001E41D1">
        <w:rPr>
          <w:rFonts w:ascii="Arial" w:hAnsi="Arial" w:cs="Arial"/>
          <w:sz w:val="24"/>
          <w:szCs w:val="24"/>
          <w:lang w:val="en-CA"/>
        </w:rPr>
        <w:t>e</w:t>
      </w:r>
      <w:r w:rsidRPr="00B2226A">
        <w:rPr>
          <w:rFonts w:ascii="Arial" w:hAnsi="Arial" w:cs="Arial"/>
          <w:sz w:val="24"/>
          <w:szCs w:val="24"/>
          <w:lang w:val="en-CA"/>
        </w:rPr>
        <w:t>nt on a systematic collection, analysis and evaluation of how effectively an individual is contributing based on pre-defined measures. A well-designed and well-administered plan should recognize effort and offer an appropriate reward, motivate, improve their overall job satisfaction, increase productivity and positively influence top talent attraction and retention. </w:t>
      </w:r>
    </w:p>
    <w:p w14:paraId="0067CCD9" w14:textId="77777777" w:rsidR="004B7969" w:rsidRPr="00B2226A" w:rsidRDefault="004B7969" w:rsidP="004B7969">
      <w:pPr>
        <w:pStyle w:val="NoSpacing"/>
        <w:rPr>
          <w:rFonts w:ascii="Arial" w:hAnsi="Arial" w:cs="Arial"/>
          <w:b/>
          <w:bCs/>
          <w:sz w:val="24"/>
          <w:szCs w:val="24"/>
          <w:highlight w:val="yellow"/>
          <w:lang w:val="en-CA"/>
        </w:rPr>
      </w:pPr>
    </w:p>
    <w:p w14:paraId="292A4ADE" w14:textId="77777777" w:rsidR="004B7969" w:rsidRPr="00B2226A" w:rsidRDefault="004B7969" w:rsidP="008E0122">
      <w:pPr>
        <w:pStyle w:val="NoSpacing"/>
        <w:keepNext/>
        <w:keepLines/>
        <w:rPr>
          <w:rFonts w:ascii="Arial" w:hAnsi="Arial" w:cs="Arial"/>
          <w:i/>
          <w:iCs/>
          <w:sz w:val="24"/>
          <w:szCs w:val="24"/>
          <w:lang w:val="en-CA"/>
        </w:rPr>
      </w:pPr>
      <w:r w:rsidRPr="00B2226A">
        <w:rPr>
          <w:rFonts w:ascii="Arial" w:hAnsi="Arial" w:cs="Arial"/>
          <w:b/>
          <w:bCs/>
          <w:sz w:val="24"/>
          <w:szCs w:val="24"/>
          <w:lang w:val="en-CA"/>
        </w:rPr>
        <w:lastRenderedPageBreak/>
        <w:t>Salary Compression</w:t>
      </w:r>
    </w:p>
    <w:p w14:paraId="5686FCAB" w14:textId="52309EEB" w:rsidR="004B7969" w:rsidRPr="00B2226A" w:rsidRDefault="004B7969" w:rsidP="008E0122">
      <w:pPr>
        <w:pStyle w:val="NoSpacing"/>
        <w:keepNext/>
        <w:keepLines/>
        <w:rPr>
          <w:rFonts w:ascii="Arial" w:hAnsi="Arial" w:cs="Arial"/>
          <w:sz w:val="24"/>
          <w:szCs w:val="24"/>
          <w:lang w:val="en-CA"/>
        </w:rPr>
      </w:pPr>
      <w:r w:rsidRPr="00B2226A">
        <w:rPr>
          <w:rFonts w:ascii="Arial" w:hAnsi="Arial" w:cs="Arial"/>
          <w:sz w:val="24"/>
          <w:szCs w:val="24"/>
          <w:lang w:val="en-CA"/>
        </w:rPr>
        <w:t>This exists when there is le</w:t>
      </w:r>
      <w:r w:rsidR="001E41D1">
        <w:rPr>
          <w:rFonts w:ascii="Arial" w:hAnsi="Arial" w:cs="Arial"/>
          <w:sz w:val="24"/>
          <w:szCs w:val="24"/>
          <w:lang w:val="en-CA"/>
        </w:rPr>
        <w:t>s</w:t>
      </w:r>
      <w:r w:rsidRPr="00B2226A">
        <w:rPr>
          <w:rFonts w:ascii="Arial" w:hAnsi="Arial" w:cs="Arial"/>
          <w:sz w:val="24"/>
          <w:szCs w:val="24"/>
          <w:lang w:val="en-CA"/>
        </w:rPr>
        <w:t xml:space="preserve">s than 10% difference between the maximum salary of a feeder group compared to the maximum salary of the EX-01. A difference of less than 10 percent can hinder top talent attraction and retention. </w:t>
      </w:r>
    </w:p>
    <w:p w14:paraId="13980211" w14:textId="77777777" w:rsidR="004B7969" w:rsidRPr="00B2226A" w:rsidRDefault="004B7969" w:rsidP="004B7969">
      <w:pPr>
        <w:pStyle w:val="NoSpacing"/>
        <w:rPr>
          <w:rFonts w:ascii="Arial" w:hAnsi="Arial" w:cs="Arial"/>
          <w:sz w:val="24"/>
          <w:szCs w:val="24"/>
          <w:lang w:val="en-CA"/>
        </w:rPr>
      </w:pPr>
    </w:p>
    <w:p w14:paraId="499406C4" w14:textId="77777777" w:rsidR="004B7969" w:rsidRPr="00B2226A" w:rsidRDefault="004B7969" w:rsidP="004B7969">
      <w:pPr>
        <w:pStyle w:val="NoSpacing"/>
        <w:rPr>
          <w:rFonts w:ascii="Arial" w:hAnsi="Arial" w:cs="Arial"/>
          <w:b/>
          <w:bCs/>
          <w:sz w:val="24"/>
          <w:szCs w:val="24"/>
          <w:lang w:val="en-CA"/>
        </w:rPr>
      </w:pPr>
      <w:r w:rsidRPr="00B2226A">
        <w:rPr>
          <w:rFonts w:ascii="Arial" w:hAnsi="Arial" w:cs="Arial"/>
          <w:b/>
          <w:bCs/>
          <w:sz w:val="24"/>
          <w:szCs w:val="24"/>
          <w:lang w:val="en-CA"/>
        </w:rPr>
        <w:t>Salary Inversion</w:t>
      </w:r>
    </w:p>
    <w:p w14:paraId="4ED456B5" w14:textId="77777777" w:rsidR="004B7969" w:rsidRPr="00B2226A" w:rsidRDefault="004B7969" w:rsidP="004B7969">
      <w:pPr>
        <w:pStyle w:val="NoSpacing"/>
        <w:rPr>
          <w:rFonts w:ascii="Arial" w:hAnsi="Arial" w:cs="Arial"/>
          <w:sz w:val="24"/>
          <w:szCs w:val="24"/>
          <w:lang w:val="en-CA"/>
        </w:rPr>
      </w:pPr>
      <w:r w:rsidRPr="00B2226A">
        <w:rPr>
          <w:rFonts w:ascii="Arial" w:hAnsi="Arial" w:cs="Arial"/>
          <w:sz w:val="24"/>
          <w:szCs w:val="24"/>
          <w:lang w:val="en-CA"/>
        </w:rPr>
        <w:t xml:space="preserve">This exists when the maximum potential salary of the feeder group exceeds the maximum potential salary of the EX-01. </w:t>
      </w:r>
    </w:p>
    <w:p w14:paraId="430F3EDC" w14:textId="77777777" w:rsidR="004B7969" w:rsidRPr="00B2226A" w:rsidRDefault="004B7969" w:rsidP="004B7969">
      <w:pPr>
        <w:pStyle w:val="NoSpacing"/>
        <w:rPr>
          <w:rFonts w:ascii="Arial" w:hAnsi="Arial" w:cs="Arial"/>
          <w:sz w:val="28"/>
          <w:szCs w:val="28"/>
          <w:lang w:val="en-CA"/>
        </w:rPr>
      </w:pPr>
    </w:p>
    <w:p w14:paraId="3AEB6759" w14:textId="77777777" w:rsidR="004B7969" w:rsidRPr="00B2226A" w:rsidRDefault="004B7969" w:rsidP="004B7969">
      <w:pPr>
        <w:pStyle w:val="NoSpacing"/>
        <w:rPr>
          <w:rFonts w:ascii="Arial" w:hAnsi="Arial" w:cs="Arial"/>
          <w:i/>
          <w:iCs/>
          <w:sz w:val="26"/>
          <w:szCs w:val="26"/>
          <w:lang w:val="en-CA"/>
        </w:rPr>
      </w:pPr>
      <w:r w:rsidRPr="00B2226A">
        <w:rPr>
          <w:rFonts w:ascii="Arial" w:hAnsi="Arial" w:cs="Arial"/>
          <w:b/>
          <w:bCs/>
          <w:sz w:val="24"/>
          <w:szCs w:val="24"/>
          <w:lang w:val="en-CA"/>
        </w:rPr>
        <w:t>Executive Total Compensation</w:t>
      </w:r>
      <w:r w:rsidRPr="00B2226A">
        <w:rPr>
          <w:rFonts w:ascii="Arial" w:hAnsi="Arial" w:cs="Arial"/>
          <w:b/>
          <w:bCs/>
          <w:sz w:val="26"/>
          <w:szCs w:val="26"/>
          <w:lang w:val="en-CA"/>
        </w:rPr>
        <w:t xml:space="preserve"> </w:t>
      </w:r>
    </w:p>
    <w:p w14:paraId="73E88A9C" w14:textId="77777777" w:rsidR="004B7969" w:rsidRPr="00B2226A" w:rsidRDefault="004B7969" w:rsidP="004B7969">
      <w:pPr>
        <w:pStyle w:val="NoSpacing"/>
        <w:rPr>
          <w:rFonts w:ascii="Arial" w:hAnsi="Arial" w:cs="Arial"/>
          <w:sz w:val="24"/>
          <w:szCs w:val="24"/>
          <w:lang w:val="en-CA"/>
        </w:rPr>
      </w:pPr>
      <w:bookmarkStart w:id="18" w:name="_Hlk126046512"/>
      <w:r w:rsidRPr="00B2226A">
        <w:rPr>
          <w:rFonts w:ascii="Arial" w:hAnsi="Arial" w:cs="Arial"/>
          <w:sz w:val="24"/>
          <w:szCs w:val="24"/>
          <w:lang w:val="en-CA"/>
        </w:rPr>
        <w:t>The total dollar value of the compensation package including base salary, performance pay, benefits (e.g., leave, pension, insurance and other entitlements).</w:t>
      </w:r>
    </w:p>
    <w:bookmarkEnd w:id="18"/>
    <w:p w14:paraId="3B1A753D" w14:textId="77777777" w:rsidR="004B7969" w:rsidRPr="00B2226A" w:rsidRDefault="004B7969" w:rsidP="004B7969">
      <w:pPr>
        <w:pStyle w:val="NoSpacing"/>
        <w:rPr>
          <w:rFonts w:ascii="Arial" w:hAnsi="Arial" w:cs="Arial"/>
          <w:sz w:val="24"/>
          <w:szCs w:val="24"/>
          <w:lang w:val="en-CA"/>
        </w:rPr>
      </w:pPr>
    </w:p>
    <w:p w14:paraId="36EB5FF9" w14:textId="3E02EDB4" w:rsidR="00D87DAF" w:rsidRPr="00B2226A" w:rsidRDefault="004B7969" w:rsidP="008969D8">
      <w:pPr>
        <w:spacing w:line="360" w:lineRule="auto"/>
        <w:rPr>
          <w:rFonts w:ascii="Arial" w:hAnsi="Arial" w:cs="Arial"/>
          <w:kern w:val="0"/>
          <w:lang w:val="en-CA"/>
        </w:rPr>
      </w:pPr>
      <w:r w:rsidRPr="00B2226A">
        <w:rPr>
          <w:rFonts w:ascii="Arial" w:hAnsi="Arial" w:cs="Arial"/>
          <w:kern w:val="0"/>
          <w:lang w:val="en-CA"/>
        </w:rPr>
        <w:t xml:space="preserve">                </w:t>
      </w:r>
      <w:r w:rsidR="008969D8" w:rsidRPr="00B2226A">
        <w:rPr>
          <w:rFonts w:ascii="Arial" w:hAnsi="Arial" w:cs="Arial"/>
          <w:kern w:val="0"/>
          <w:lang w:val="en-US"/>
        </w:rPr>
        <w:t xml:space="preserve"> </w:t>
      </w:r>
    </w:p>
    <w:sectPr w:rsidR="00D87DAF" w:rsidRPr="00B2226A" w:rsidSect="00004CEA">
      <w:footerReference w:type="even" r:id="rId9"/>
      <w:footerReference w:type="default" r:id="rId10"/>
      <w:headerReference w:type="first" r:id="rId11"/>
      <w:footerReference w:type="first" r:id="rId12"/>
      <w:pgSz w:w="12240" w:h="15840" w:code="1"/>
      <w:pgMar w:top="2546" w:right="1267" w:bottom="274" w:left="1714" w:header="720" w:footer="25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74D5" w14:textId="77777777" w:rsidR="009658B3" w:rsidRDefault="009658B3">
      <w:r>
        <w:separator/>
      </w:r>
    </w:p>
  </w:endnote>
  <w:endnote w:type="continuationSeparator" w:id="0">
    <w:p w14:paraId="0C4223BE" w14:textId="77777777" w:rsidR="009658B3" w:rsidRDefault="0096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95959" w:themeColor="text1" w:themeTint="A6"/>
        <w:sz w:val="18"/>
        <w:szCs w:val="18"/>
      </w:rPr>
      <w:id w:val="-848955456"/>
      <w:docPartObj>
        <w:docPartGallery w:val="Page Numbers (Bottom of Page)"/>
        <w:docPartUnique/>
      </w:docPartObj>
    </w:sdtPr>
    <w:sdtEndPr/>
    <w:sdtContent>
      <w:sdt>
        <w:sdtPr>
          <w:rPr>
            <w:color w:val="595959" w:themeColor="text1" w:themeTint="A6"/>
            <w:sz w:val="18"/>
            <w:szCs w:val="18"/>
          </w:rPr>
          <w:id w:val="-1769616900"/>
          <w:docPartObj>
            <w:docPartGallery w:val="Page Numbers (Top of Page)"/>
            <w:docPartUnique/>
          </w:docPartObj>
        </w:sdtPr>
        <w:sdtEndPr/>
        <w:sdtContent>
          <w:p w14:paraId="174B4B6E" w14:textId="1B0FF318" w:rsidR="00F427B8" w:rsidRPr="006D6AFF" w:rsidRDefault="001C2703">
            <w:pPr>
              <w:pStyle w:val="Footer"/>
              <w:jc w:val="right"/>
              <w:rPr>
                <w:color w:val="595959" w:themeColor="text1" w:themeTint="A6"/>
                <w:sz w:val="18"/>
                <w:szCs w:val="18"/>
              </w:rPr>
            </w:pPr>
            <w:r w:rsidRPr="006D6AFF">
              <w:rPr>
                <w:noProof/>
                <w:color w:val="595959" w:themeColor="text1" w:themeTint="A6"/>
                <w:sz w:val="18"/>
                <w:szCs w:val="18"/>
              </w:rPr>
              <w:drawing>
                <wp:anchor distT="0" distB="0" distL="114300" distR="114300" simplePos="0" relativeHeight="251665408" behindDoc="0" locked="0" layoutInCell="1" allowOverlap="1" wp14:anchorId="0510BCCE" wp14:editId="6E27DC23">
                  <wp:simplePos x="0" y="0"/>
                  <wp:positionH relativeFrom="column">
                    <wp:posOffset>-1106939</wp:posOffset>
                  </wp:positionH>
                  <wp:positionV relativeFrom="paragraph">
                    <wp:posOffset>245110</wp:posOffset>
                  </wp:positionV>
                  <wp:extent cx="7827264" cy="1508760"/>
                  <wp:effectExtent l="0" t="0" r="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827264" cy="1508760"/>
                          </a:xfrm>
                          <a:prstGeom prst="rect">
                            <a:avLst/>
                          </a:prstGeom>
                        </pic:spPr>
                      </pic:pic>
                    </a:graphicData>
                  </a:graphic>
                  <wp14:sizeRelH relativeFrom="margin">
                    <wp14:pctWidth>0</wp14:pctWidth>
                  </wp14:sizeRelH>
                  <wp14:sizeRelV relativeFrom="margin">
                    <wp14:pctHeight>0</wp14:pctHeight>
                  </wp14:sizeRelV>
                </wp:anchor>
              </w:drawing>
            </w:r>
            <w:r w:rsidR="0054672D">
              <w:rPr>
                <w:color w:val="595959" w:themeColor="text1" w:themeTint="A6"/>
                <w:sz w:val="18"/>
                <w:szCs w:val="18"/>
              </w:rPr>
              <w:t>/</w:t>
            </w:r>
            <w:r w:rsidR="00F41F01" w:rsidRPr="00F41F01">
              <w:rPr>
                <w:color w:val="7F7F7F" w:themeColor="background1" w:themeShade="7F"/>
                <w:spacing w:val="60"/>
                <w:sz w:val="18"/>
                <w:szCs w:val="18"/>
              </w:rPr>
              <w:t>Page</w:t>
            </w:r>
            <w:r w:rsidR="00F41F01" w:rsidRPr="00F41F01">
              <w:rPr>
                <w:color w:val="595959" w:themeColor="text1" w:themeTint="A6"/>
                <w:sz w:val="18"/>
                <w:szCs w:val="18"/>
              </w:rPr>
              <w:t xml:space="preserve"> | </w:t>
            </w:r>
            <w:r w:rsidR="00F41F01" w:rsidRPr="00F41F01">
              <w:rPr>
                <w:color w:val="595959" w:themeColor="text1" w:themeTint="A6"/>
                <w:sz w:val="18"/>
                <w:szCs w:val="18"/>
              </w:rPr>
              <w:fldChar w:fldCharType="begin"/>
            </w:r>
            <w:r w:rsidR="00F41F01" w:rsidRPr="00F41F01">
              <w:rPr>
                <w:color w:val="595959" w:themeColor="text1" w:themeTint="A6"/>
                <w:sz w:val="18"/>
                <w:szCs w:val="18"/>
              </w:rPr>
              <w:instrText xml:space="preserve"> PAGE   \* MERGEFORMAT </w:instrText>
            </w:r>
            <w:r w:rsidR="00F41F01" w:rsidRPr="00F41F01">
              <w:rPr>
                <w:color w:val="595959" w:themeColor="text1" w:themeTint="A6"/>
                <w:sz w:val="18"/>
                <w:szCs w:val="18"/>
              </w:rPr>
              <w:fldChar w:fldCharType="separate"/>
            </w:r>
            <w:r w:rsidR="00F41F01" w:rsidRPr="00F41F01">
              <w:rPr>
                <w:b/>
                <w:bCs/>
                <w:noProof/>
                <w:color w:val="595959" w:themeColor="text1" w:themeTint="A6"/>
                <w:sz w:val="18"/>
                <w:szCs w:val="18"/>
              </w:rPr>
              <w:t>1</w:t>
            </w:r>
            <w:r w:rsidR="00F41F01" w:rsidRPr="00F41F01">
              <w:rPr>
                <w:b/>
                <w:bCs/>
                <w:noProof/>
                <w:color w:val="595959" w:themeColor="text1" w:themeTint="A6"/>
                <w:sz w:val="18"/>
                <w:szCs w:val="18"/>
              </w:rPr>
              <w:fldChar w:fldCharType="end"/>
            </w:r>
          </w:p>
        </w:sdtContent>
      </w:sdt>
    </w:sdtContent>
  </w:sdt>
  <w:p w14:paraId="3E996A3E" w14:textId="77777777" w:rsidR="00F427B8" w:rsidRDefault="00F42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2686" w14:textId="0E9AAFA2" w:rsidR="00004CEA" w:rsidRDefault="00004CEA" w:rsidP="00004CEA">
    <w:pPr>
      <w:pStyle w:val="Footer"/>
      <w:jc w:val="right"/>
      <w:rPr>
        <w:b/>
        <w:bCs/>
        <w:noProof/>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r>
      <w:rPr>
        <w:b/>
        <w:bCs/>
        <w:noProof/>
      </w:rPr>
      <w:t xml:space="preserve"> </w:t>
    </w:r>
  </w:p>
  <w:p w14:paraId="38FDC8EF" w14:textId="65102BAB" w:rsidR="006A1DA6" w:rsidRDefault="00796311" w:rsidP="00004CEA">
    <w:pPr>
      <w:pStyle w:val="Footer"/>
      <w:jc w:val="right"/>
    </w:pPr>
    <w:r>
      <w:rPr>
        <w:noProof/>
      </w:rPr>
      <w:drawing>
        <wp:anchor distT="0" distB="0" distL="114300" distR="114300" simplePos="0" relativeHeight="251659264" behindDoc="0" locked="0" layoutInCell="1" allowOverlap="1" wp14:anchorId="0A35187D" wp14:editId="31F92AEF">
          <wp:simplePos x="0" y="0"/>
          <wp:positionH relativeFrom="column">
            <wp:posOffset>-1106740</wp:posOffset>
          </wp:positionH>
          <wp:positionV relativeFrom="paragraph">
            <wp:posOffset>100330</wp:posOffset>
          </wp:positionV>
          <wp:extent cx="7827264" cy="1508760"/>
          <wp:effectExtent l="0" t="0" r="0"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827264" cy="15087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62CB" w14:textId="77777777" w:rsidR="001E25E3" w:rsidRDefault="000D6E68">
    <w:pPr>
      <w:pStyle w:val="Footer"/>
    </w:pPr>
    <w:r>
      <w:rPr>
        <w:noProof/>
      </w:rPr>
      <w:drawing>
        <wp:anchor distT="0" distB="0" distL="114300" distR="114300" simplePos="0" relativeHeight="251661312" behindDoc="0" locked="0" layoutInCell="1" allowOverlap="1" wp14:anchorId="599E40FB" wp14:editId="272FD0F3">
          <wp:simplePos x="0" y="0"/>
          <wp:positionH relativeFrom="column">
            <wp:posOffset>-1123950</wp:posOffset>
          </wp:positionH>
          <wp:positionV relativeFrom="paragraph">
            <wp:posOffset>267005</wp:posOffset>
          </wp:positionV>
          <wp:extent cx="7827264" cy="1508760"/>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827264" cy="15087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E8738" w14:textId="77777777" w:rsidR="009658B3" w:rsidRDefault="009658B3">
      <w:r>
        <w:separator/>
      </w:r>
    </w:p>
  </w:footnote>
  <w:footnote w:type="continuationSeparator" w:id="0">
    <w:p w14:paraId="52ADA710" w14:textId="77777777" w:rsidR="009658B3" w:rsidRDefault="009658B3">
      <w:r>
        <w:continuationSeparator/>
      </w:r>
    </w:p>
  </w:footnote>
  <w:footnote w:id="1">
    <w:p w14:paraId="011074AA" w14:textId="5B0AEFF2" w:rsidR="004B7969" w:rsidRPr="006F279A" w:rsidRDefault="004B7969" w:rsidP="004B7969">
      <w:pPr>
        <w:pStyle w:val="FootnoteText"/>
        <w:rPr>
          <w:lang w:val="en-CA"/>
        </w:rPr>
      </w:pPr>
      <w:r>
        <w:rPr>
          <w:rStyle w:val="FootnoteReference"/>
        </w:rPr>
        <w:footnoteRef/>
      </w:r>
      <w:r w:rsidRPr="006F279A">
        <w:rPr>
          <w:lang w:val="en-CA"/>
        </w:rPr>
        <w:t xml:space="preserve"> As of March 31, 2022, </w:t>
      </w:r>
      <w:r>
        <w:rPr>
          <w:lang w:val="en-CA"/>
        </w:rPr>
        <w:t xml:space="preserve">source: </w:t>
      </w:r>
      <w:r w:rsidR="00B46CB2">
        <w:rPr>
          <w:lang w:val="en-CA"/>
        </w:rPr>
        <w:t>People Information Management Automated Request Tracker (</w:t>
      </w:r>
      <w:r>
        <w:rPr>
          <w:lang w:val="en-CA"/>
        </w:rPr>
        <w:t>PIMART</w:t>
      </w:r>
      <w:r w:rsidR="00B46CB2">
        <w:rPr>
          <w:lang w:val="en-CA"/>
        </w:rPr>
        <w:t>), Treasury Board of Canada Secretariat</w:t>
      </w:r>
    </w:p>
  </w:footnote>
  <w:footnote w:id="2">
    <w:p w14:paraId="6F584684" w14:textId="0A3E43B0" w:rsidR="004B7969" w:rsidRPr="006F279A" w:rsidRDefault="004B7969" w:rsidP="004B7969">
      <w:pPr>
        <w:pStyle w:val="FootnoteText"/>
        <w:rPr>
          <w:lang w:val="en-CA"/>
        </w:rPr>
      </w:pPr>
      <w:r>
        <w:rPr>
          <w:rStyle w:val="FootnoteReference"/>
        </w:rPr>
        <w:footnoteRef/>
      </w:r>
      <w:r w:rsidRPr="006F279A">
        <w:rPr>
          <w:lang w:val="en-CA"/>
        </w:rPr>
        <w:t xml:space="preserve"> </w:t>
      </w:r>
      <w:r w:rsidR="00B46CB2" w:rsidRPr="006F279A">
        <w:rPr>
          <w:lang w:val="en-CA"/>
        </w:rPr>
        <w:t xml:space="preserve">As of March 31, 2022, </w:t>
      </w:r>
      <w:r w:rsidR="00B46CB2">
        <w:rPr>
          <w:lang w:val="en-CA"/>
        </w:rPr>
        <w:t>source: People Information Management Automated Request Tracker (PIMART), Treasury Board of Canada Secretariat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6B7A" w14:textId="77777777" w:rsidR="001E25E3" w:rsidRDefault="00BE4C96">
    <w:pPr>
      <w:pStyle w:val="Header"/>
    </w:pPr>
    <w:r>
      <w:rPr>
        <w:noProof/>
      </w:rPr>
      <w:drawing>
        <wp:inline distT="0" distB="0" distL="0" distR="0" wp14:anchorId="3EF0DD27" wp14:editId="39610233">
          <wp:extent cx="1028700" cy="9271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028700" cy="927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D14"/>
    <w:multiLevelType w:val="hybridMultilevel"/>
    <w:tmpl w:val="3BE887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BCD5C6F"/>
    <w:multiLevelType w:val="hybridMultilevel"/>
    <w:tmpl w:val="A64068C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1D625E3F"/>
    <w:multiLevelType w:val="hybridMultilevel"/>
    <w:tmpl w:val="A83CA9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05B6F7A"/>
    <w:multiLevelType w:val="hybridMultilevel"/>
    <w:tmpl w:val="F0D4A882"/>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4" w15:restartNumberingAfterBreak="0">
    <w:nsid w:val="32F93FD8"/>
    <w:multiLevelType w:val="hybridMultilevel"/>
    <w:tmpl w:val="FAF095E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33266823"/>
    <w:multiLevelType w:val="hybridMultilevel"/>
    <w:tmpl w:val="85E64B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8944B02"/>
    <w:multiLevelType w:val="hybridMultilevel"/>
    <w:tmpl w:val="655AC20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9BE773E"/>
    <w:multiLevelType w:val="hybridMultilevel"/>
    <w:tmpl w:val="7B5E2450"/>
    <w:lvl w:ilvl="0" w:tplc="0C0C0001">
      <w:start w:val="1"/>
      <w:numFmt w:val="bullet"/>
      <w:lvlText w:val=""/>
      <w:lvlJc w:val="left"/>
      <w:pPr>
        <w:ind w:left="360" w:hanging="360"/>
      </w:pPr>
      <w:rPr>
        <w:rFonts w:ascii="Symbol" w:hAnsi="Symbol" w:hint="default"/>
      </w:rPr>
    </w:lvl>
    <w:lvl w:ilvl="1" w:tplc="44D2C31C">
      <w:numFmt w:val="bullet"/>
      <w:lvlText w:val="·"/>
      <w:lvlJc w:val="left"/>
      <w:pPr>
        <w:ind w:left="1080" w:hanging="360"/>
      </w:pPr>
      <w:rPr>
        <w:rFonts w:ascii="Segoe UI" w:eastAsiaTheme="minorHAnsi" w:hAnsi="Segoe UI" w:cs="Segoe UI"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C5C55CA"/>
    <w:multiLevelType w:val="hybridMultilevel"/>
    <w:tmpl w:val="3EBE56F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6DE03E7"/>
    <w:multiLevelType w:val="hybridMultilevel"/>
    <w:tmpl w:val="D9449E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7A11EBC"/>
    <w:multiLevelType w:val="hybridMultilevel"/>
    <w:tmpl w:val="46B28382"/>
    <w:lvl w:ilvl="0" w:tplc="0C0C0003">
      <w:start w:val="1"/>
      <w:numFmt w:val="bullet"/>
      <w:lvlText w:val="o"/>
      <w:lvlJc w:val="left"/>
      <w:pPr>
        <w:ind w:left="1428" w:hanging="360"/>
      </w:pPr>
      <w:rPr>
        <w:rFonts w:ascii="Courier New" w:hAnsi="Courier New" w:cs="Courier New" w:hint="default"/>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1" w15:restartNumberingAfterBreak="0">
    <w:nsid w:val="4B6B7E1A"/>
    <w:multiLevelType w:val="hybridMultilevel"/>
    <w:tmpl w:val="F92A791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4FE00E4E"/>
    <w:multiLevelType w:val="hybridMultilevel"/>
    <w:tmpl w:val="7A5E02E2"/>
    <w:lvl w:ilvl="0" w:tplc="0C0C0003">
      <w:start w:val="1"/>
      <w:numFmt w:val="bullet"/>
      <w:lvlText w:val="o"/>
      <w:lvlJc w:val="left"/>
      <w:pPr>
        <w:ind w:left="1440" w:hanging="360"/>
      </w:pPr>
      <w:rPr>
        <w:rFonts w:ascii="Courier New" w:hAnsi="Courier New" w:cs="Courier New"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4FF078B2"/>
    <w:multiLevelType w:val="hybridMultilevel"/>
    <w:tmpl w:val="346EDE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6082B3F"/>
    <w:multiLevelType w:val="hybridMultilevel"/>
    <w:tmpl w:val="950A04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6CA5DEA"/>
    <w:multiLevelType w:val="hybridMultilevel"/>
    <w:tmpl w:val="2F564B7A"/>
    <w:lvl w:ilvl="0" w:tplc="0409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C213069"/>
    <w:multiLevelType w:val="hybridMultilevel"/>
    <w:tmpl w:val="EC10D6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3F45E9A"/>
    <w:multiLevelType w:val="hybridMultilevel"/>
    <w:tmpl w:val="2DCA127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74566AAD"/>
    <w:multiLevelType w:val="hybridMultilevel"/>
    <w:tmpl w:val="6B1EE4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75C5FD6"/>
    <w:multiLevelType w:val="hybridMultilevel"/>
    <w:tmpl w:val="A552DFB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7BAA725B"/>
    <w:multiLevelType w:val="hybridMultilevel"/>
    <w:tmpl w:val="77DA86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E600BDB"/>
    <w:multiLevelType w:val="hybridMultilevel"/>
    <w:tmpl w:val="E2D6DE6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7F7E66CF"/>
    <w:multiLevelType w:val="hybridMultilevel"/>
    <w:tmpl w:val="DCF2DD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50959031">
    <w:abstractNumId w:val="4"/>
  </w:num>
  <w:num w:numId="2" w16cid:durableId="1471358391">
    <w:abstractNumId w:val="11"/>
  </w:num>
  <w:num w:numId="3" w16cid:durableId="946692536">
    <w:abstractNumId w:val="20"/>
  </w:num>
  <w:num w:numId="4" w16cid:durableId="1389955676">
    <w:abstractNumId w:val="9"/>
  </w:num>
  <w:num w:numId="5" w16cid:durableId="644162790">
    <w:abstractNumId w:val="5"/>
  </w:num>
  <w:num w:numId="6" w16cid:durableId="1009790655">
    <w:abstractNumId w:val="8"/>
  </w:num>
  <w:num w:numId="7" w16cid:durableId="1871070934">
    <w:abstractNumId w:val="10"/>
  </w:num>
  <w:num w:numId="8" w16cid:durableId="592012252">
    <w:abstractNumId w:val="3"/>
  </w:num>
  <w:num w:numId="9" w16cid:durableId="1688410063">
    <w:abstractNumId w:val="12"/>
  </w:num>
  <w:num w:numId="10" w16cid:durableId="1256092989">
    <w:abstractNumId w:val="17"/>
  </w:num>
  <w:num w:numId="11" w16cid:durableId="1055929230">
    <w:abstractNumId w:val="21"/>
  </w:num>
  <w:num w:numId="12" w16cid:durableId="1765883888">
    <w:abstractNumId w:val="1"/>
  </w:num>
  <w:num w:numId="13" w16cid:durableId="663717">
    <w:abstractNumId w:val="18"/>
  </w:num>
  <w:num w:numId="14" w16cid:durableId="1369453202">
    <w:abstractNumId w:val="15"/>
  </w:num>
  <w:num w:numId="15" w16cid:durableId="786235397">
    <w:abstractNumId w:val="6"/>
  </w:num>
  <w:num w:numId="16" w16cid:durableId="1684284117">
    <w:abstractNumId w:val="16"/>
  </w:num>
  <w:num w:numId="17" w16cid:durableId="1066562726">
    <w:abstractNumId w:val="22"/>
  </w:num>
  <w:num w:numId="18" w16cid:durableId="707024125">
    <w:abstractNumId w:val="0"/>
  </w:num>
  <w:num w:numId="19" w16cid:durableId="2066447731">
    <w:abstractNumId w:val="2"/>
  </w:num>
  <w:num w:numId="20" w16cid:durableId="41832147">
    <w:abstractNumId w:val="0"/>
  </w:num>
  <w:num w:numId="21" w16cid:durableId="1032342289">
    <w:abstractNumId w:val="2"/>
  </w:num>
  <w:num w:numId="22" w16cid:durableId="507132903">
    <w:abstractNumId w:val="6"/>
  </w:num>
  <w:num w:numId="23" w16cid:durableId="1409376691">
    <w:abstractNumId w:val="13"/>
  </w:num>
  <w:num w:numId="24" w16cid:durableId="177814671">
    <w:abstractNumId w:val="19"/>
  </w:num>
  <w:num w:numId="25" w16cid:durableId="1834367690">
    <w:abstractNumId w:val="7"/>
  </w:num>
  <w:num w:numId="26" w16cid:durableId="2164057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9D"/>
    <w:rsid w:val="00004CEA"/>
    <w:rsid w:val="000453B5"/>
    <w:rsid w:val="00072E7C"/>
    <w:rsid w:val="00084010"/>
    <w:rsid w:val="000D6E68"/>
    <w:rsid w:val="000E1CE0"/>
    <w:rsid w:val="000E47B4"/>
    <w:rsid w:val="001041BC"/>
    <w:rsid w:val="00152137"/>
    <w:rsid w:val="001846B4"/>
    <w:rsid w:val="001C2703"/>
    <w:rsid w:val="001D4D63"/>
    <w:rsid w:val="001D65C7"/>
    <w:rsid w:val="001E1BAA"/>
    <w:rsid w:val="001E25E3"/>
    <w:rsid w:val="001E41D1"/>
    <w:rsid w:val="00210F69"/>
    <w:rsid w:val="00212113"/>
    <w:rsid w:val="0021561D"/>
    <w:rsid w:val="00216DA1"/>
    <w:rsid w:val="0022027E"/>
    <w:rsid w:val="00222F4F"/>
    <w:rsid w:val="00250BB0"/>
    <w:rsid w:val="00262393"/>
    <w:rsid w:val="00275423"/>
    <w:rsid w:val="0029421F"/>
    <w:rsid w:val="002B3FE6"/>
    <w:rsid w:val="002D0CDB"/>
    <w:rsid w:val="002D1E99"/>
    <w:rsid w:val="002F5C75"/>
    <w:rsid w:val="00316958"/>
    <w:rsid w:val="00370BA9"/>
    <w:rsid w:val="003A227E"/>
    <w:rsid w:val="003C65E8"/>
    <w:rsid w:val="003D10CA"/>
    <w:rsid w:val="003D1E53"/>
    <w:rsid w:val="003D7DAB"/>
    <w:rsid w:val="003F30A3"/>
    <w:rsid w:val="00437508"/>
    <w:rsid w:val="00451111"/>
    <w:rsid w:val="004538E3"/>
    <w:rsid w:val="00471F86"/>
    <w:rsid w:val="0049083F"/>
    <w:rsid w:val="004A3039"/>
    <w:rsid w:val="004B7969"/>
    <w:rsid w:val="004C6B36"/>
    <w:rsid w:val="00506B4C"/>
    <w:rsid w:val="0053208C"/>
    <w:rsid w:val="00537741"/>
    <w:rsid w:val="0054437A"/>
    <w:rsid w:val="0054672D"/>
    <w:rsid w:val="00571C28"/>
    <w:rsid w:val="00584C60"/>
    <w:rsid w:val="005C4E1A"/>
    <w:rsid w:val="005D0891"/>
    <w:rsid w:val="005D2216"/>
    <w:rsid w:val="005F550E"/>
    <w:rsid w:val="00620642"/>
    <w:rsid w:val="006217FE"/>
    <w:rsid w:val="00625553"/>
    <w:rsid w:val="00631270"/>
    <w:rsid w:val="00654310"/>
    <w:rsid w:val="006A1DA6"/>
    <w:rsid w:val="006C4CCB"/>
    <w:rsid w:val="006D1BE6"/>
    <w:rsid w:val="006D6AFF"/>
    <w:rsid w:val="00796311"/>
    <w:rsid w:val="007C41B5"/>
    <w:rsid w:val="007C7A7B"/>
    <w:rsid w:val="007D2B99"/>
    <w:rsid w:val="007D597F"/>
    <w:rsid w:val="00810835"/>
    <w:rsid w:val="00864197"/>
    <w:rsid w:val="00885CC3"/>
    <w:rsid w:val="008969D8"/>
    <w:rsid w:val="008B299F"/>
    <w:rsid w:val="008D45FD"/>
    <w:rsid w:val="008D67F9"/>
    <w:rsid w:val="008E0122"/>
    <w:rsid w:val="008E7CDE"/>
    <w:rsid w:val="00904C43"/>
    <w:rsid w:val="00940A05"/>
    <w:rsid w:val="00960E80"/>
    <w:rsid w:val="00962A2A"/>
    <w:rsid w:val="009658B3"/>
    <w:rsid w:val="009730A8"/>
    <w:rsid w:val="009911BB"/>
    <w:rsid w:val="009B08AD"/>
    <w:rsid w:val="009B589D"/>
    <w:rsid w:val="009C3FB8"/>
    <w:rsid w:val="009E6122"/>
    <w:rsid w:val="00A269E9"/>
    <w:rsid w:val="00A304CA"/>
    <w:rsid w:val="00A65EC6"/>
    <w:rsid w:val="00AE359D"/>
    <w:rsid w:val="00AF0D3F"/>
    <w:rsid w:val="00AF4732"/>
    <w:rsid w:val="00AF4743"/>
    <w:rsid w:val="00B03DFA"/>
    <w:rsid w:val="00B10ECE"/>
    <w:rsid w:val="00B12612"/>
    <w:rsid w:val="00B13207"/>
    <w:rsid w:val="00B2226A"/>
    <w:rsid w:val="00B36944"/>
    <w:rsid w:val="00B46CB2"/>
    <w:rsid w:val="00B57E87"/>
    <w:rsid w:val="00B84306"/>
    <w:rsid w:val="00B9064B"/>
    <w:rsid w:val="00B946E3"/>
    <w:rsid w:val="00BA710C"/>
    <w:rsid w:val="00BB650F"/>
    <w:rsid w:val="00BE4C96"/>
    <w:rsid w:val="00BE5260"/>
    <w:rsid w:val="00C04EDE"/>
    <w:rsid w:val="00C07C26"/>
    <w:rsid w:val="00C14A02"/>
    <w:rsid w:val="00C43829"/>
    <w:rsid w:val="00C47199"/>
    <w:rsid w:val="00C56DF1"/>
    <w:rsid w:val="00C64DCB"/>
    <w:rsid w:val="00C71F97"/>
    <w:rsid w:val="00C81443"/>
    <w:rsid w:val="00C83FAF"/>
    <w:rsid w:val="00C8404C"/>
    <w:rsid w:val="00C85AF2"/>
    <w:rsid w:val="00CA651F"/>
    <w:rsid w:val="00CD77F2"/>
    <w:rsid w:val="00CF6149"/>
    <w:rsid w:val="00D1611E"/>
    <w:rsid w:val="00D2269F"/>
    <w:rsid w:val="00D254C6"/>
    <w:rsid w:val="00D325BE"/>
    <w:rsid w:val="00D87DAF"/>
    <w:rsid w:val="00DC3CEB"/>
    <w:rsid w:val="00DD6280"/>
    <w:rsid w:val="00DE0673"/>
    <w:rsid w:val="00DE528D"/>
    <w:rsid w:val="00DF4995"/>
    <w:rsid w:val="00E03C07"/>
    <w:rsid w:val="00E11F14"/>
    <w:rsid w:val="00E57687"/>
    <w:rsid w:val="00E74309"/>
    <w:rsid w:val="00EB7371"/>
    <w:rsid w:val="00EC0728"/>
    <w:rsid w:val="00EC0A7D"/>
    <w:rsid w:val="00EE6A75"/>
    <w:rsid w:val="00F03877"/>
    <w:rsid w:val="00F41F01"/>
    <w:rsid w:val="00F421A4"/>
    <w:rsid w:val="00F427B8"/>
    <w:rsid w:val="00F65E31"/>
    <w:rsid w:val="00F73AE2"/>
    <w:rsid w:val="00F82B98"/>
    <w:rsid w:val="00FD4E6C"/>
    <w:rsid w:val="00FD4E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FCCC2"/>
  <w15:chartTrackingRefBased/>
  <w15:docId w15:val="{6C8B4A21-63F8-438D-ADC1-18B2368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imes New Roman" w:hAnsi="Open Sans" w:cs="Open Sans"/>
        <w:color w:val="0D0D0D" w:themeColor="text1" w:themeTint="F2"/>
        <w:kern w:val="28"/>
        <w:szCs w:val="24"/>
        <w:lang w:val="fr-CA" w:eastAsia="fr-CA"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41F01"/>
    <w:pPr>
      <w:keepNext/>
      <w:outlineLvl w:val="0"/>
    </w:pPr>
    <w:rPr>
      <w:rFonts w:ascii="Arial" w:hAnsi="Arial"/>
      <w:b/>
      <w:smallCaps/>
      <w:sz w:val="32"/>
      <w:szCs w:val="20"/>
    </w:rPr>
  </w:style>
  <w:style w:type="paragraph" w:styleId="Heading2">
    <w:name w:val="heading 2"/>
    <w:basedOn w:val="Normal"/>
    <w:next w:val="Normal"/>
    <w:link w:val="Heading2Char"/>
    <w:uiPriority w:val="9"/>
    <w:unhideWhenUsed/>
    <w:qFormat/>
    <w:rsid w:val="00F41F01"/>
    <w:pPr>
      <w:keepNext/>
      <w:keepLines/>
      <w:spacing w:before="40"/>
      <w:outlineLvl w:val="1"/>
    </w:pPr>
    <w:rPr>
      <w:rFonts w:ascii="Arial" w:eastAsiaTheme="majorEastAsia" w:hAnsi="Arial" w:cstheme="majorBidi"/>
      <w:b/>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Spacing">
    <w:name w:val="No Spacing"/>
    <w:uiPriority w:val="1"/>
    <w:qFormat/>
    <w:rsid w:val="00EE6A75"/>
    <w:rPr>
      <w:rFonts w:ascii="Calibri" w:eastAsia="Calibri" w:hAnsi="Calibri"/>
      <w:sz w:val="22"/>
      <w:szCs w:val="22"/>
      <w:lang w:val="en-US" w:eastAsia="en-US"/>
    </w:rPr>
  </w:style>
  <w:style w:type="character" w:customStyle="1" w:styleId="Heading1Char">
    <w:name w:val="Heading 1 Char"/>
    <w:link w:val="Heading1"/>
    <w:rsid w:val="00F41F01"/>
    <w:rPr>
      <w:rFonts w:ascii="Arial" w:hAnsi="Arial"/>
      <w:b/>
      <w:smallCaps/>
      <w:sz w:val="32"/>
      <w:szCs w:val="20"/>
    </w:rPr>
  </w:style>
  <w:style w:type="paragraph" w:styleId="BodyText">
    <w:name w:val="Body Text"/>
    <w:basedOn w:val="Normal"/>
    <w:link w:val="BodyTextChar"/>
    <w:rsid w:val="00AF0D3F"/>
    <w:pPr>
      <w:pBdr>
        <w:top w:val="single" w:sz="4" w:space="1" w:color="auto"/>
      </w:pBdr>
      <w:jc w:val="both"/>
    </w:pPr>
    <w:rPr>
      <w:szCs w:val="20"/>
    </w:rPr>
  </w:style>
  <w:style w:type="character" w:customStyle="1" w:styleId="BodyTextChar">
    <w:name w:val="Body Text Char"/>
    <w:link w:val="BodyText"/>
    <w:rsid w:val="00AF0D3F"/>
    <w:rPr>
      <w:sz w:val="24"/>
    </w:rPr>
  </w:style>
  <w:style w:type="paragraph" w:styleId="BodyText2">
    <w:name w:val="Body Text 2"/>
    <w:basedOn w:val="Normal"/>
    <w:link w:val="BodyText2Char"/>
    <w:rsid w:val="00AF0D3F"/>
    <w:pPr>
      <w:jc w:val="both"/>
    </w:pPr>
    <w:rPr>
      <w:szCs w:val="20"/>
    </w:rPr>
  </w:style>
  <w:style w:type="character" w:customStyle="1" w:styleId="BodyText2Char">
    <w:name w:val="Body Text 2 Char"/>
    <w:link w:val="BodyText2"/>
    <w:rsid w:val="00AF0D3F"/>
    <w:rPr>
      <w:sz w:val="24"/>
    </w:rPr>
  </w:style>
  <w:style w:type="paragraph" w:styleId="BalloonText">
    <w:name w:val="Balloon Text"/>
    <w:basedOn w:val="Normal"/>
    <w:link w:val="BalloonTextChar"/>
    <w:uiPriority w:val="99"/>
    <w:semiHidden/>
    <w:unhideWhenUsed/>
    <w:rsid w:val="00AF0D3F"/>
    <w:rPr>
      <w:rFonts w:ascii="Tahoma" w:hAnsi="Tahoma" w:cs="Tahoma"/>
      <w:sz w:val="16"/>
      <w:szCs w:val="16"/>
    </w:rPr>
  </w:style>
  <w:style w:type="character" w:customStyle="1" w:styleId="BalloonTextChar">
    <w:name w:val="Balloon Text Char"/>
    <w:link w:val="BalloonText"/>
    <w:uiPriority w:val="99"/>
    <w:semiHidden/>
    <w:rsid w:val="00AF0D3F"/>
    <w:rPr>
      <w:rFonts w:ascii="Tahoma" w:hAnsi="Tahoma" w:cs="Tahoma"/>
      <w:sz w:val="16"/>
      <w:szCs w:val="16"/>
    </w:rPr>
  </w:style>
  <w:style w:type="paragraph" w:styleId="ListParagraph">
    <w:name w:val="List Paragraph"/>
    <w:basedOn w:val="Normal"/>
    <w:uiPriority w:val="34"/>
    <w:qFormat/>
    <w:rsid w:val="00904C43"/>
    <w:pPr>
      <w:ind w:left="720"/>
      <w:contextualSpacing/>
    </w:pPr>
    <w:rPr>
      <w:rFonts w:ascii="Calibri" w:eastAsia="Calibri" w:hAnsi="Calibri"/>
      <w:sz w:val="22"/>
      <w:szCs w:val="22"/>
      <w:lang w:val="en-CA"/>
    </w:rPr>
  </w:style>
  <w:style w:type="table" w:styleId="TableGrid">
    <w:name w:val="Table Grid"/>
    <w:basedOn w:val="TableNormal"/>
    <w:uiPriority w:val="39"/>
    <w:rsid w:val="008D67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427B8"/>
    <w:rPr>
      <w:sz w:val="24"/>
      <w:szCs w:val="24"/>
      <w:lang w:val="en-US" w:eastAsia="en-US"/>
    </w:rPr>
  </w:style>
  <w:style w:type="paragraph" w:styleId="FootnoteText">
    <w:name w:val="footnote text"/>
    <w:basedOn w:val="Normal"/>
    <w:link w:val="FootnoteTextChar"/>
    <w:uiPriority w:val="99"/>
    <w:semiHidden/>
    <w:unhideWhenUsed/>
    <w:rsid w:val="004B7969"/>
    <w:rPr>
      <w:rFonts w:ascii="Calibri" w:eastAsiaTheme="minorHAnsi" w:hAnsi="Calibri" w:cs="Calibri"/>
      <w:color w:val="auto"/>
      <w:kern w:val="0"/>
      <w:szCs w:val="20"/>
      <w14:ligatures w14:val="none"/>
    </w:rPr>
  </w:style>
  <w:style w:type="character" w:customStyle="1" w:styleId="FootnoteTextChar">
    <w:name w:val="Footnote Text Char"/>
    <w:basedOn w:val="DefaultParagraphFont"/>
    <w:link w:val="FootnoteText"/>
    <w:uiPriority w:val="99"/>
    <w:semiHidden/>
    <w:rsid w:val="004B7969"/>
    <w:rPr>
      <w:rFonts w:ascii="Calibri" w:eastAsiaTheme="minorHAnsi" w:hAnsi="Calibri" w:cs="Calibri"/>
      <w:color w:val="auto"/>
      <w:kern w:val="0"/>
      <w:szCs w:val="20"/>
      <w14:ligatures w14:val="none"/>
    </w:rPr>
  </w:style>
  <w:style w:type="character" w:styleId="FootnoteReference">
    <w:name w:val="footnote reference"/>
    <w:basedOn w:val="DefaultParagraphFont"/>
    <w:uiPriority w:val="99"/>
    <w:semiHidden/>
    <w:unhideWhenUsed/>
    <w:rsid w:val="004B7969"/>
    <w:rPr>
      <w:vertAlign w:val="superscript"/>
    </w:rPr>
  </w:style>
  <w:style w:type="paragraph" w:styleId="TOCHeading">
    <w:name w:val="TOC Heading"/>
    <w:basedOn w:val="Heading1"/>
    <w:next w:val="Normal"/>
    <w:uiPriority w:val="39"/>
    <w:unhideWhenUsed/>
    <w:qFormat/>
    <w:rsid w:val="00B2226A"/>
    <w:pPr>
      <w:keepLines/>
      <w:spacing w:before="240" w:line="259" w:lineRule="auto"/>
      <w:outlineLvl w:val="9"/>
    </w:pPr>
    <w:rPr>
      <w:rFonts w:asciiTheme="majorHAnsi" w:eastAsiaTheme="majorEastAsia" w:hAnsiTheme="majorHAnsi" w:cstheme="majorBidi"/>
      <w:b w:val="0"/>
      <w:smallCaps w:val="0"/>
      <w:color w:val="2F5496" w:themeColor="accent1" w:themeShade="BF"/>
      <w:kern w:val="0"/>
      <w:szCs w:val="32"/>
      <w:lang w:val="en-US" w:eastAsia="en-US"/>
      <w14:ligatures w14:val="none"/>
    </w:rPr>
  </w:style>
  <w:style w:type="character" w:customStyle="1" w:styleId="Heading2Char">
    <w:name w:val="Heading 2 Char"/>
    <w:basedOn w:val="DefaultParagraphFont"/>
    <w:link w:val="Heading2"/>
    <w:uiPriority w:val="9"/>
    <w:rsid w:val="00F41F01"/>
    <w:rPr>
      <w:rFonts w:ascii="Arial" w:eastAsiaTheme="majorEastAsia" w:hAnsi="Arial" w:cstheme="majorBidi"/>
      <w:b/>
      <w:color w:val="auto"/>
      <w:sz w:val="28"/>
      <w:szCs w:val="26"/>
    </w:rPr>
  </w:style>
  <w:style w:type="paragraph" w:styleId="TOC1">
    <w:name w:val="toc 1"/>
    <w:basedOn w:val="Normal"/>
    <w:next w:val="Normal"/>
    <w:autoRedefine/>
    <w:uiPriority w:val="39"/>
    <w:unhideWhenUsed/>
    <w:rsid w:val="00F41F01"/>
    <w:pPr>
      <w:spacing w:after="100"/>
    </w:pPr>
  </w:style>
  <w:style w:type="paragraph" w:styleId="TOC2">
    <w:name w:val="toc 2"/>
    <w:basedOn w:val="Normal"/>
    <w:next w:val="Normal"/>
    <w:autoRedefine/>
    <w:uiPriority w:val="39"/>
    <w:unhideWhenUsed/>
    <w:rsid w:val="00F41F01"/>
    <w:pPr>
      <w:spacing w:after="100"/>
      <w:ind w:left="200"/>
    </w:pPr>
  </w:style>
  <w:style w:type="character" w:styleId="Hyperlink">
    <w:name w:val="Hyperlink"/>
    <w:basedOn w:val="DefaultParagraphFont"/>
    <w:uiPriority w:val="99"/>
    <w:unhideWhenUsed/>
    <w:rsid w:val="00F41F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222">
      <w:bodyDiv w:val="1"/>
      <w:marLeft w:val="0"/>
      <w:marRight w:val="0"/>
      <w:marTop w:val="0"/>
      <w:marBottom w:val="0"/>
      <w:divBdr>
        <w:top w:val="none" w:sz="0" w:space="0" w:color="auto"/>
        <w:left w:val="none" w:sz="0" w:space="0" w:color="auto"/>
        <w:bottom w:val="none" w:sz="0" w:space="0" w:color="auto"/>
        <w:right w:val="none" w:sz="0" w:space="0" w:color="auto"/>
      </w:divBdr>
    </w:div>
    <w:div w:id="431167474">
      <w:bodyDiv w:val="1"/>
      <w:marLeft w:val="0"/>
      <w:marRight w:val="0"/>
      <w:marTop w:val="0"/>
      <w:marBottom w:val="0"/>
      <w:divBdr>
        <w:top w:val="none" w:sz="0" w:space="0" w:color="auto"/>
        <w:left w:val="none" w:sz="0" w:space="0" w:color="auto"/>
        <w:bottom w:val="none" w:sz="0" w:space="0" w:color="auto"/>
        <w:right w:val="none" w:sz="0" w:space="0" w:color="auto"/>
      </w:divBdr>
    </w:div>
    <w:div w:id="999576455">
      <w:bodyDiv w:val="1"/>
      <w:marLeft w:val="0"/>
      <w:marRight w:val="0"/>
      <w:marTop w:val="0"/>
      <w:marBottom w:val="0"/>
      <w:divBdr>
        <w:top w:val="none" w:sz="0" w:space="0" w:color="auto"/>
        <w:left w:val="none" w:sz="0" w:space="0" w:color="auto"/>
        <w:bottom w:val="none" w:sz="0" w:space="0" w:color="auto"/>
        <w:right w:val="none" w:sz="0" w:space="0" w:color="auto"/>
      </w:divBdr>
    </w:div>
    <w:div w:id="1499350029">
      <w:bodyDiv w:val="1"/>
      <w:marLeft w:val="0"/>
      <w:marRight w:val="0"/>
      <w:marTop w:val="0"/>
      <w:marBottom w:val="0"/>
      <w:divBdr>
        <w:top w:val="none" w:sz="0" w:space="0" w:color="auto"/>
        <w:left w:val="none" w:sz="0" w:space="0" w:color="auto"/>
        <w:bottom w:val="none" w:sz="0" w:space="0" w:color="auto"/>
        <w:right w:val="none" w:sz="0" w:space="0" w:color="auto"/>
      </w:divBdr>
    </w:div>
    <w:div w:id="160125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zette.gc.ca/rp-pr/p1/1999/1999-03-27/pdf/g1-1331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arag\AppData\Local\Microsoft\Windows\INetCache\Content.Outlook\6T9R735I\APEXLetterhead_MultipalePages_25-03-2021%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A80D0-E76A-409F-A58D-353129531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APEXLetterhead_MultipalePages_25-03-2021 (002)</Template>
  <TotalTime>36</TotalTime>
  <Pages>13</Pages>
  <Words>2397</Words>
  <Characters>14852</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apex</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Guttman</dc:creator>
  <cp:keywords/>
  <dc:description/>
  <cp:lastModifiedBy>Josée Lafontaine (she/her/elle)</cp:lastModifiedBy>
  <cp:revision>15</cp:revision>
  <cp:lastPrinted>2023-02-17T14:08:00Z</cp:lastPrinted>
  <dcterms:created xsi:type="dcterms:W3CDTF">2023-02-14T11:28:00Z</dcterms:created>
  <dcterms:modified xsi:type="dcterms:W3CDTF">2023-02-17T14:08:00Z</dcterms:modified>
</cp:coreProperties>
</file>